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p w:rsidR="00D833CF" w:rsidRPr="001D0D5E" w:rsidRDefault="00D833CF" w:rsidP="0095127E">
          <w:pPr>
            <w:jc w:val="center"/>
            <w:rPr>
              <w:rFonts w:ascii="Cambria" w:hAnsi="Cambria"/>
              <w:b/>
              <w:sz w:val="64"/>
              <w:szCs w:val="64"/>
            </w:rPr>
          </w:pPr>
          <w:r>
            <w:rPr>
              <w:rFonts w:ascii="Cambria" w:hAnsi="Cambria"/>
              <w:b/>
              <w:noProof/>
              <w:sz w:val="64"/>
              <w:szCs w:val="64"/>
            </w:rPr>
            <w:drawing>
              <wp:anchor distT="0" distB="0" distL="114300" distR="114300" simplePos="0" relativeHeight="251660288" behindDoc="0" locked="0" layoutInCell="1" allowOverlap="1">
                <wp:simplePos x="0" y="0"/>
                <wp:positionH relativeFrom="column">
                  <wp:posOffset>-52705</wp:posOffset>
                </wp:positionH>
                <wp:positionV relativeFrom="paragraph">
                  <wp:posOffset>427355</wp:posOffset>
                </wp:positionV>
                <wp:extent cx="2308225" cy="2410460"/>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cstate="print"/>
                        <a:srcRect r="45809"/>
                        <a:stretch>
                          <a:fillRect/>
                        </a:stretch>
                      </pic:blipFill>
                      <pic:spPr>
                        <a:xfrm>
                          <a:off x="0" y="0"/>
                          <a:ext cx="2308225" cy="2410460"/>
                        </a:xfrm>
                        <a:prstGeom prst="rect">
                          <a:avLst/>
                        </a:prstGeom>
                      </pic:spPr>
                    </pic:pic>
                  </a:graphicData>
                </a:graphic>
              </wp:anchor>
            </w:drawing>
          </w:r>
        </w:p>
        <w:p w:rsidR="00D833CF" w:rsidRDefault="00D833CF" w:rsidP="001D0D5E">
          <w:pPr>
            <w:jc w:val="center"/>
            <w:rPr>
              <w:rFonts w:ascii="Cambria" w:hAnsi="Cambria"/>
              <w:b/>
              <w:sz w:val="64"/>
              <w:szCs w:val="64"/>
            </w:rPr>
          </w:pPr>
          <w:r w:rsidRPr="001D0D5E">
            <w:rPr>
              <w:rFonts w:ascii="Cambria" w:hAnsi="Cambria"/>
              <w:b/>
              <w:sz w:val="64"/>
              <w:szCs w:val="64"/>
            </w:rPr>
            <w:t>CCGPS</w:t>
          </w:r>
        </w:p>
        <w:p w:rsidR="00D833CF" w:rsidRDefault="00D833CF" w:rsidP="001D0D5E">
          <w:pPr>
            <w:jc w:val="center"/>
            <w:rPr>
              <w:rFonts w:ascii="Cambria" w:hAnsi="Cambria"/>
              <w:b/>
              <w:sz w:val="64"/>
              <w:szCs w:val="64"/>
            </w:rPr>
          </w:pPr>
          <w:r>
            <w:rPr>
              <w:rFonts w:ascii="Cambria" w:hAnsi="Cambria"/>
              <w:b/>
              <w:sz w:val="64"/>
              <w:szCs w:val="64"/>
            </w:rPr>
            <w:t>Curriculum Map</w:t>
          </w:r>
        </w:p>
        <w:p w:rsidR="00D833CF" w:rsidRDefault="00D833CF" w:rsidP="001D0D5E">
          <w:pPr>
            <w:jc w:val="center"/>
            <w:rPr>
              <w:rFonts w:ascii="Cambria" w:hAnsi="Cambria"/>
              <w:b/>
              <w:sz w:val="64"/>
              <w:szCs w:val="64"/>
            </w:rPr>
          </w:pPr>
        </w:p>
        <w:p w:rsidR="00D833CF" w:rsidRDefault="00D833CF" w:rsidP="001D0D5E">
          <w:pPr>
            <w:jc w:val="center"/>
            <w:rPr>
              <w:rFonts w:ascii="Cambria" w:hAnsi="Cambria"/>
              <w:b/>
              <w:sz w:val="64"/>
              <w:szCs w:val="64"/>
            </w:rPr>
          </w:pPr>
        </w:p>
        <w:p w:rsidR="00D833CF" w:rsidRDefault="00FF7AAE" w:rsidP="001D0D5E">
          <w:pPr>
            <w:rPr>
              <w:rFonts w:ascii="Cambria" w:hAnsi="Cambria"/>
              <w:b/>
              <w:sz w:val="64"/>
              <w:szCs w:val="64"/>
            </w:rPr>
          </w:pPr>
          <w:r>
            <w:rPr>
              <w:rFonts w:ascii="Cambria" w:hAnsi="Cambria"/>
              <w:b/>
              <w:noProof/>
              <w:sz w:val="64"/>
              <w:szCs w:val="64"/>
            </w:rPr>
            <w:pict>
              <v:shapetype id="_x0000_t202" coordsize="21600,21600" o:spt="202" path="m,l,21600r21600,l21600,xe">
                <v:stroke joinstyle="miter"/>
                <v:path gradientshapeok="t" o:connecttype="rect"/>
              </v:shapetype>
              <v:shape id="_x0000_s1026" type="#_x0000_t202" style="position:absolute;margin-left:0;margin-top:6.95pt;width:463.2pt;height:62.4pt;z-index:251661312;mso-position-horizontal:center;v-text-anchor:middle" fillcolor="#4f81bd [3204]" strokecolor="#f2f2f2 [3041]" strokeweight="3pt">
                <v:shadow on="t" type="perspective" color="#243f60 [1604]" opacity=".5" offset="1pt" offset2="-1pt"/>
                <v:textbox style="mso-next-textbox:#_x0000_s1026">
                  <w:txbxContent>
                    <w:p w:rsidR="00D833CF" w:rsidRPr="001D0D5E" w:rsidRDefault="00D833CF" w:rsidP="00650D3E">
                      <w:pPr>
                        <w:ind w:left="-180"/>
                        <w:jc w:val="center"/>
                        <w:rPr>
                          <w:rFonts w:ascii="Cambria" w:hAnsi="Cambria"/>
                          <w:b/>
                          <w:sz w:val="64"/>
                          <w:szCs w:val="64"/>
                        </w:rPr>
                      </w:pPr>
                      <w:r w:rsidRPr="001D0D5E">
                        <w:rPr>
                          <w:rFonts w:ascii="Cambria" w:hAnsi="Cambria"/>
                          <w:b/>
                          <w:sz w:val="64"/>
                          <w:szCs w:val="64"/>
                        </w:rPr>
                        <w:t>Mathematics</w:t>
                      </w:r>
                    </w:p>
                  </w:txbxContent>
                </v:textbox>
              </v:shape>
            </w:pict>
          </w:r>
        </w:p>
        <w:p w:rsidR="00D833CF" w:rsidRDefault="00D833CF" w:rsidP="00650D3E">
          <w:pPr>
            <w:rPr>
              <w:rFonts w:ascii="Cambria" w:hAnsi="Cambria"/>
              <w:sz w:val="64"/>
              <w:szCs w:val="64"/>
            </w:rPr>
          </w:pPr>
        </w:p>
        <w:p w:rsidR="00D833CF" w:rsidRDefault="00D833CF" w:rsidP="00650D3E">
          <w:pPr>
            <w:rPr>
              <w:rFonts w:ascii="Cambria" w:hAnsi="Cambria"/>
              <w:sz w:val="52"/>
              <w:szCs w:val="52"/>
            </w:rPr>
          </w:pPr>
        </w:p>
        <w:p w:rsidR="00D833CF" w:rsidRPr="001B0EB2" w:rsidRDefault="00751570" w:rsidP="00650D3E">
          <w:pPr>
            <w:rPr>
              <w:rFonts w:ascii="Cambria" w:hAnsi="Cambria"/>
              <w:sz w:val="52"/>
              <w:szCs w:val="52"/>
            </w:rPr>
          </w:pPr>
          <w:fldSimple w:instr=" TITLE  &quot;Type Grade Here&quot; \* Caps  \* MERGEFORMAT ">
            <w:r w:rsidR="00D833CF">
              <w:rPr>
                <w:rFonts w:ascii="Cambria" w:hAnsi="Cambria"/>
                <w:sz w:val="52"/>
                <w:szCs w:val="52"/>
              </w:rPr>
              <w:t>CCGPS Advanced Algebra</w:t>
            </w:r>
          </w:fldSimple>
          <w:r w:rsidR="006F47D1">
            <w:rPr>
              <w:rFonts w:ascii="Cambria" w:hAnsi="Cambria"/>
              <w:sz w:val="52"/>
              <w:szCs w:val="52"/>
            </w:rPr>
            <w:t xml:space="preserve"> Year 2</w:t>
          </w:r>
        </w:p>
        <w:p w:rsidR="00D833CF" w:rsidRDefault="00D833CF" w:rsidP="00650D3E">
          <w:pPr>
            <w:rPr>
              <w:rFonts w:ascii="Cambria" w:hAnsi="Cambria"/>
              <w:sz w:val="52"/>
              <w:szCs w:val="52"/>
            </w:rPr>
          </w:pPr>
        </w:p>
        <w:p w:rsidR="00D833CF" w:rsidRPr="00650D3E" w:rsidRDefault="00D833CF" w:rsidP="00650D3E">
          <w:pPr>
            <w:rPr>
              <w:rFonts w:ascii="Cambria" w:hAnsi="Cambria"/>
              <w:sz w:val="52"/>
              <w:szCs w:val="52"/>
            </w:rPr>
          </w:pPr>
          <w:r>
            <w:rPr>
              <w:rFonts w:ascii="Cambria" w:hAnsi="Cambria"/>
              <w:noProof/>
              <w:sz w:val="52"/>
              <w:szCs w:val="52"/>
            </w:rPr>
            <w:drawing>
              <wp:anchor distT="0" distB="0" distL="114300" distR="114300" simplePos="0" relativeHeight="251662336" behindDoc="0" locked="0" layoutInCell="1" allowOverlap="1">
                <wp:simplePos x="0" y="0"/>
                <wp:positionH relativeFrom="column">
                  <wp:align>right</wp:align>
                </wp:positionH>
                <wp:positionV relativeFrom="paragraph">
                  <wp:posOffset>3637</wp:posOffset>
                </wp:positionV>
                <wp:extent cx="2884690" cy="1399309"/>
                <wp:effectExtent l="19050" t="0" r="0" b="0"/>
                <wp:wrapSquare wrapText="bothSides"/>
                <wp:docPr id="5"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stretch>
                          <a:fillRect/>
                        </a:stretch>
                      </pic:blipFill>
                      <pic:spPr>
                        <a:xfrm>
                          <a:off x="0" y="0"/>
                          <a:ext cx="2884690" cy="1399309"/>
                        </a:xfrm>
                        <a:prstGeom prst="rect">
                          <a:avLst/>
                        </a:prstGeom>
                      </pic:spPr>
                    </pic:pic>
                  </a:graphicData>
                </a:graphic>
              </wp:anchor>
            </w:drawing>
          </w:r>
        </w:p>
        <w:p w:rsidR="00D833CF" w:rsidRDefault="00FF7AAE"/>
      </w:sdtContent>
    </w:sdt>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9D1C19" w:rsidRDefault="009D1C19">
      <w:pPr>
        <w:rPr>
          <w:i/>
          <w:sz w:val="20"/>
          <w:szCs w:val="20"/>
        </w:rPr>
      </w:pPr>
    </w:p>
    <w:p w:rsidR="00D833CF" w:rsidRDefault="009D1C19">
      <w:r>
        <w:rPr>
          <w:i/>
          <w:sz w:val="20"/>
          <w:szCs w:val="20"/>
        </w:rPr>
        <w:t>These materials are for nonprofit educational purposes only. Any other use may constitute copyright infringement.</w:t>
      </w:r>
      <w:r w:rsidR="00D833CF">
        <w:br w:type="page"/>
      </w:r>
    </w:p>
    <w:p w:rsidR="00732582" w:rsidRPr="001D2CB5" w:rsidRDefault="00434DE7" w:rsidP="00732582">
      <w:pPr>
        <w:jc w:val="center"/>
        <w:rPr>
          <w:sz w:val="32"/>
          <w:szCs w:val="32"/>
        </w:rPr>
      </w:pPr>
      <w:r w:rsidRPr="001D2CB5">
        <w:rPr>
          <w:sz w:val="32"/>
          <w:szCs w:val="32"/>
        </w:rPr>
        <w:lastRenderedPageBreak/>
        <w:t xml:space="preserve">Common Core </w:t>
      </w:r>
      <w:r w:rsidR="00732582" w:rsidRPr="001D2CB5">
        <w:rPr>
          <w:sz w:val="32"/>
          <w:szCs w:val="32"/>
        </w:rPr>
        <w:t>Georgia Performance Standards</w:t>
      </w:r>
    </w:p>
    <w:p w:rsidR="001D2CB5" w:rsidRPr="007766B5" w:rsidRDefault="001D2CB5" w:rsidP="001D2CB5">
      <w:pPr>
        <w:jc w:val="center"/>
        <w:rPr>
          <w:sz w:val="32"/>
          <w:szCs w:val="32"/>
        </w:rPr>
      </w:pPr>
      <w:r>
        <w:rPr>
          <w:sz w:val="32"/>
          <w:szCs w:val="32"/>
        </w:rPr>
        <w:t>High School Mathematics</w:t>
      </w:r>
    </w:p>
    <w:p w:rsidR="004A140A" w:rsidRPr="00BD4B20" w:rsidRDefault="00D17945" w:rsidP="002E5338">
      <w:pPr>
        <w:jc w:val="center"/>
        <w:rPr>
          <w:b/>
          <w:sz w:val="32"/>
          <w:szCs w:val="32"/>
        </w:rPr>
      </w:pPr>
      <w:r>
        <w:rPr>
          <w:b/>
          <w:sz w:val="32"/>
          <w:szCs w:val="32"/>
        </w:rPr>
        <w:t xml:space="preserve">CCGPS </w:t>
      </w:r>
      <w:r w:rsidR="00D26C72" w:rsidRPr="00BD4B20">
        <w:rPr>
          <w:b/>
          <w:sz w:val="32"/>
          <w:szCs w:val="32"/>
        </w:rPr>
        <w:t xml:space="preserve">Advanced </w:t>
      </w:r>
      <w:r w:rsidR="004A140A" w:rsidRPr="00BD4B20">
        <w:rPr>
          <w:b/>
          <w:sz w:val="32"/>
          <w:szCs w:val="32"/>
        </w:rPr>
        <w:t>Algebra</w:t>
      </w:r>
      <w:r w:rsidR="006F47D1">
        <w:rPr>
          <w:b/>
          <w:sz w:val="32"/>
          <w:szCs w:val="32"/>
        </w:rPr>
        <w:t xml:space="preserve"> Year 2</w:t>
      </w:r>
      <w:r w:rsidR="004A140A" w:rsidRPr="00BD4B20">
        <w:rPr>
          <w:b/>
          <w:sz w:val="32"/>
          <w:szCs w:val="32"/>
        </w:rPr>
        <w:t xml:space="preserve"> </w:t>
      </w:r>
      <w:r w:rsidR="00BD4B20" w:rsidRPr="00555E5B">
        <w:rPr>
          <w:b/>
          <w:sz w:val="32"/>
          <w:szCs w:val="32"/>
        </w:rPr>
        <w:t xml:space="preserve">– </w:t>
      </w:r>
      <w:r w:rsidR="00BD4B20" w:rsidRPr="00143508">
        <w:rPr>
          <w:b/>
          <w:color w:val="000000" w:themeColor="text1"/>
          <w:sz w:val="32"/>
          <w:szCs w:val="32"/>
        </w:rPr>
        <w:t>At a Glance</w:t>
      </w:r>
    </w:p>
    <w:tbl>
      <w:tblPr>
        <w:tblpPr w:leftFromText="180" w:rightFromText="180" w:vertAnchor="text" w:horzAnchor="margin" w:tblpY="114"/>
        <w:tblW w:w="14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086"/>
        <w:gridCol w:w="1978"/>
        <w:gridCol w:w="2068"/>
        <w:gridCol w:w="1052"/>
        <w:gridCol w:w="1018"/>
        <w:gridCol w:w="2073"/>
        <w:gridCol w:w="1713"/>
        <w:gridCol w:w="2398"/>
      </w:tblGrid>
      <w:tr w:rsidR="00761630" w:rsidTr="0033528E">
        <w:tc>
          <w:tcPr>
            <w:tcW w:w="14386" w:type="dxa"/>
            <w:gridSpan w:val="8"/>
            <w:shd w:val="clear" w:color="auto" w:fill="A0A0A0"/>
          </w:tcPr>
          <w:p w:rsidR="00761630" w:rsidRPr="00555E5B" w:rsidRDefault="00761630" w:rsidP="0033528E">
            <w:pPr>
              <w:jc w:val="center"/>
              <w:rPr>
                <w:sz w:val="28"/>
                <w:szCs w:val="28"/>
              </w:rPr>
            </w:pPr>
            <w:r>
              <w:rPr>
                <w:sz w:val="28"/>
                <w:szCs w:val="28"/>
              </w:rPr>
              <w:t xml:space="preserve">Common Core </w:t>
            </w:r>
            <w:r w:rsidRPr="00555E5B">
              <w:rPr>
                <w:sz w:val="28"/>
                <w:szCs w:val="28"/>
              </w:rPr>
              <w:t>Georgia Performance Standards:  Curriculum Map</w:t>
            </w:r>
          </w:p>
        </w:tc>
      </w:tr>
      <w:tr w:rsidR="00732582" w:rsidTr="0033528E">
        <w:tblPrEx>
          <w:shd w:val="clear" w:color="auto" w:fill="auto"/>
        </w:tblPrEx>
        <w:tc>
          <w:tcPr>
            <w:tcW w:w="7184" w:type="dxa"/>
            <w:gridSpan w:val="4"/>
          </w:tcPr>
          <w:p w:rsidR="00732582" w:rsidRPr="001D2CB5" w:rsidRDefault="00732582" w:rsidP="0033528E">
            <w:pPr>
              <w:jc w:val="center"/>
              <w:rPr>
                <w:sz w:val="16"/>
                <w:szCs w:val="16"/>
              </w:rPr>
            </w:pPr>
            <w:r w:rsidRPr="001D2CB5">
              <w:rPr>
                <w:sz w:val="16"/>
                <w:szCs w:val="16"/>
              </w:rPr>
              <w:t>1</w:t>
            </w:r>
            <w:r w:rsidRPr="001D2CB5">
              <w:rPr>
                <w:sz w:val="16"/>
                <w:szCs w:val="16"/>
                <w:vertAlign w:val="superscript"/>
              </w:rPr>
              <w:t>st</w:t>
            </w:r>
            <w:r w:rsidRPr="001D2CB5">
              <w:rPr>
                <w:sz w:val="16"/>
                <w:szCs w:val="16"/>
              </w:rPr>
              <w:t xml:space="preserve"> Semester</w:t>
            </w:r>
          </w:p>
        </w:tc>
        <w:tc>
          <w:tcPr>
            <w:tcW w:w="7202" w:type="dxa"/>
            <w:gridSpan w:val="4"/>
          </w:tcPr>
          <w:p w:rsidR="00732582" w:rsidRPr="001D2CB5" w:rsidRDefault="00732582" w:rsidP="0033528E">
            <w:pPr>
              <w:jc w:val="center"/>
              <w:rPr>
                <w:sz w:val="16"/>
                <w:szCs w:val="16"/>
              </w:rPr>
            </w:pPr>
            <w:r w:rsidRPr="001D2CB5">
              <w:rPr>
                <w:sz w:val="16"/>
                <w:szCs w:val="16"/>
              </w:rPr>
              <w:t>2</w:t>
            </w:r>
            <w:r w:rsidRPr="001D2CB5">
              <w:rPr>
                <w:sz w:val="16"/>
                <w:szCs w:val="16"/>
                <w:vertAlign w:val="superscript"/>
              </w:rPr>
              <w:t>nd</w:t>
            </w:r>
            <w:r w:rsidRPr="001D2CB5">
              <w:rPr>
                <w:sz w:val="16"/>
                <w:szCs w:val="16"/>
              </w:rPr>
              <w:t xml:space="preserve"> Semester</w:t>
            </w:r>
          </w:p>
        </w:tc>
      </w:tr>
      <w:tr w:rsidR="004375D9" w:rsidTr="0033528E">
        <w:tblPrEx>
          <w:shd w:val="clear" w:color="auto" w:fill="auto"/>
        </w:tblPrEx>
        <w:tc>
          <w:tcPr>
            <w:tcW w:w="2086" w:type="dxa"/>
            <w:shd w:val="clear" w:color="auto" w:fill="8C8C8C"/>
          </w:tcPr>
          <w:p w:rsidR="004375D9" w:rsidRDefault="004375D9" w:rsidP="0033528E">
            <w:pPr>
              <w:jc w:val="center"/>
            </w:pPr>
          </w:p>
        </w:tc>
        <w:tc>
          <w:tcPr>
            <w:tcW w:w="1978" w:type="dxa"/>
            <w:shd w:val="clear" w:color="auto" w:fill="8C8C8C"/>
          </w:tcPr>
          <w:p w:rsidR="004375D9" w:rsidRDefault="004375D9" w:rsidP="0033528E">
            <w:pPr>
              <w:jc w:val="center"/>
            </w:pPr>
          </w:p>
        </w:tc>
        <w:tc>
          <w:tcPr>
            <w:tcW w:w="2068" w:type="dxa"/>
            <w:shd w:val="clear" w:color="auto" w:fill="8C8C8C"/>
          </w:tcPr>
          <w:p w:rsidR="004375D9" w:rsidRDefault="004375D9" w:rsidP="0033528E">
            <w:pPr>
              <w:jc w:val="center"/>
            </w:pPr>
          </w:p>
        </w:tc>
        <w:tc>
          <w:tcPr>
            <w:tcW w:w="2070" w:type="dxa"/>
            <w:gridSpan w:val="2"/>
            <w:shd w:val="clear" w:color="auto" w:fill="8C8C8C"/>
          </w:tcPr>
          <w:p w:rsidR="004375D9" w:rsidRDefault="004375D9" w:rsidP="0033528E">
            <w:pPr>
              <w:jc w:val="center"/>
            </w:pPr>
          </w:p>
        </w:tc>
        <w:tc>
          <w:tcPr>
            <w:tcW w:w="2073" w:type="dxa"/>
            <w:shd w:val="clear" w:color="auto" w:fill="8C8C8C"/>
          </w:tcPr>
          <w:p w:rsidR="004375D9" w:rsidRDefault="004375D9" w:rsidP="0033528E">
            <w:pPr>
              <w:jc w:val="center"/>
            </w:pPr>
          </w:p>
        </w:tc>
        <w:tc>
          <w:tcPr>
            <w:tcW w:w="4111" w:type="dxa"/>
            <w:gridSpan w:val="2"/>
            <w:shd w:val="clear" w:color="auto" w:fill="8C8C8C"/>
          </w:tcPr>
          <w:p w:rsidR="004375D9" w:rsidRDefault="004375D9" w:rsidP="0033528E">
            <w:pPr>
              <w:jc w:val="center"/>
            </w:pPr>
          </w:p>
        </w:tc>
      </w:tr>
      <w:tr w:rsidR="00F45B44" w:rsidTr="0033528E">
        <w:tblPrEx>
          <w:shd w:val="clear" w:color="auto" w:fill="auto"/>
        </w:tblPrEx>
        <w:trPr>
          <w:trHeight w:val="485"/>
        </w:trPr>
        <w:tc>
          <w:tcPr>
            <w:tcW w:w="2086" w:type="dxa"/>
          </w:tcPr>
          <w:p w:rsidR="004A140A" w:rsidRDefault="004A140A" w:rsidP="0033528E">
            <w:pPr>
              <w:jc w:val="center"/>
            </w:pPr>
            <w:r>
              <w:t>Unit 1</w:t>
            </w:r>
          </w:p>
          <w:p w:rsidR="004B0365" w:rsidRDefault="004B0365" w:rsidP="004B0365">
            <w:pPr>
              <w:jc w:val="center"/>
            </w:pPr>
            <w:r w:rsidRPr="00BC048A">
              <w:rPr>
                <w:b/>
                <w:i/>
              </w:rPr>
              <w:t>(</w:t>
            </w:r>
            <w:r>
              <w:rPr>
                <w:b/>
                <w:i/>
              </w:rPr>
              <w:t>4</w:t>
            </w:r>
            <w:r w:rsidRPr="00BC048A">
              <w:rPr>
                <w:b/>
                <w:i/>
              </w:rPr>
              <w:t xml:space="preserve"> – </w:t>
            </w:r>
            <w:r>
              <w:rPr>
                <w:b/>
                <w:i/>
              </w:rPr>
              <w:t>5</w:t>
            </w:r>
            <w:r w:rsidRPr="00BC048A">
              <w:rPr>
                <w:b/>
                <w:i/>
              </w:rPr>
              <w:t xml:space="preserve"> weeks)</w:t>
            </w:r>
          </w:p>
        </w:tc>
        <w:tc>
          <w:tcPr>
            <w:tcW w:w="1978" w:type="dxa"/>
          </w:tcPr>
          <w:p w:rsidR="004A140A" w:rsidRDefault="004A140A" w:rsidP="0033528E">
            <w:pPr>
              <w:jc w:val="center"/>
            </w:pPr>
            <w:r>
              <w:t>Unit 2</w:t>
            </w:r>
          </w:p>
          <w:p w:rsidR="004B0365" w:rsidRDefault="004B0365" w:rsidP="006F47D1">
            <w:pPr>
              <w:jc w:val="center"/>
            </w:pPr>
            <w:r w:rsidRPr="00BC048A">
              <w:rPr>
                <w:b/>
                <w:i/>
              </w:rPr>
              <w:t>(</w:t>
            </w:r>
            <w:r w:rsidR="006F47D1">
              <w:rPr>
                <w:b/>
                <w:i/>
              </w:rPr>
              <w:t>5</w:t>
            </w:r>
            <w:r w:rsidRPr="00BC048A">
              <w:rPr>
                <w:b/>
                <w:i/>
              </w:rPr>
              <w:t xml:space="preserve"> – </w:t>
            </w:r>
            <w:r w:rsidR="006F47D1">
              <w:rPr>
                <w:b/>
                <w:i/>
              </w:rPr>
              <w:t>6</w:t>
            </w:r>
            <w:r w:rsidRPr="00BC048A">
              <w:rPr>
                <w:b/>
                <w:i/>
              </w:rPr>
              <w:t xml:space="preserve"> weeks)</w:t>
            </w:r>
          </w:p>
        </w:tc>
        <w:tc>
          <w:tcPr>
            <w:tcW w:w="2068" w:type="dxa"/>
          </w:tcPr>
          <w:p w:rsidR="004A140A" w:rsidRDefault="004A140A" w:rsidP="0033528E">
            <w:pPr>
              <w:jc w:val="center"/>
            </w:pPr>
            <w:r>
              <w:t>Unit 3</w:t>
            </w:r>
          </w:p>
          <w:p w:rsidR="004B0365" w:rsidRDefault="004B0365" w:rsidP="006F47D1">
            <w:pPr>
              <w:jc w:val="center"/>
            </w:pPr>
            <w:r w:rsidRPr="00BC048A">
              <w:rPr>
                <w:b/>
                <w:i/>
              </w:rPr>
              <w:t>(</w:t>
            </w:r>
            <w:r w:rsidR="006F47D1">
              <w:rPr>
                <w:b/>
                <w:i/>
              </w:rPr>
              <w:t>5</w:t>
            </w:r>
            <w:r w:rsidRPr="00BC048A">
              <w:rPr>
                <w:b/>
                <w:i/>
              </w:rPr>
              <w:t xml:space="preserve"> – </w:t>
            </w:r>
            <w:r w:rsidR="006F47D1">
              <w:rPr>
                <w:b/>
                <w:i/>
              </w:rPr>
              <w:t xml:space="preserve">6 </w:t>
            </w:r>
            <w:r w:rsidRPr="00BC048A">
              <w:rPr>
                <w:b/>
                <w:i/>
              </w:rPr>
              <w:t>weeks)</w:t>
            </w:r>
          </w:p>
        </w:tc>
        <w:tc>
          <w:tcPr>
            <w:tcW w:w="2070" w:type="dxa"/>
            <w:gridSpan w:val="2"/>
          </w:tcPr>
          <w:p w:rsidR="004A140A" w:rsidRDefault="004A140A" w:rsidP="0033528E">
            <w:pPr>
              <w:jc w:val="center"/>
            </w:pPr>
            <w:r>
              <w:t>Unit 4</w:t>
            </w:r>
          </w:p>
          <w:p w:rsidR="004B0365" w:rsidRDefault="004B0365" w:rsidP="0033528E">
            <w:pPr>
              <w:jc w:val="center"/>
            </w:pPr>
            <w:r w:rsidRPr="00BC048A">
              <w:rPr>
                <w:b/>
                <w:i/>
              </w:rPr>
              <w:t>(3 – 4 weeks)</w:t>
            </w:r>
          </w:p>
        </w:tc>
        <w:tc>
          <w:tcPr>
            <w:tcW w:w="2073" w:type="dxa"/>
            <w:shd w:val="clear" w:color="auto" w:fill="auto"/>
          </w:tcPr>
          <w:p w:rsidR="004A140A" w:rsidRDefault="004A140A" w:rsidP="0033528E">
            <w:pPr>
              <w:jc w:val="center"/>
            </w:pPr>
            <w:r>
              <w:t>Unit 5</w:t>
            </w:r>
          </w:p>
          <w:p w:rsidR="004B0365" w:rsidRPr="00C63904" w:rsidRDefault="004B0365" w:rsidP="0033528E">
            <w:pPr>
              <w:jc w:val="center"/>
            </w:pPr>
            <w:r w:rsidRPr="00BC048A">
              <w:rPr>
                <w:b/>
                <w:i/>
              </w:rPr>
              <w:t>(3 – 4 weeks)</w:t>
            </w:r>
          </w:p>
        </w:tc>
        <w:tc>
          <w:tcPr>
            <w:tcW w:w="4111" w:type="dxa"/>
            <w:gridSpan w:val="2"/>
            <w:shd w:val="clear" w:color="auto" w:fill="auto"/>
          </w:tcPr>
          <w:p w:rsidR="004A140A" w:rsidRDefault="004A140A" w:rsidP="0033528E">
            <w:pPr>
              <w:jc w:val="center"/>
            </w:pPr>
            <w:r>
              <w:t>Unit 6</w:t>
            </w:r>
          </w:p>
          <w:p w:rsidR="004B0365" w:rsidRDefault="004B0365" w:rsidP="004B0365">
            <w:pPr>
              <w:jc w:val="center"/>
            </w:pPr>
            <w:r w:rsidRPr="00BC048A">
              <w:rPr>
                <w:b/>
                <w:i/>
              </w:rPr>
              <w:t>(</w:t>
            </w:r>
            <w:r>
              <w:rPr>
                <w:b/>
                <w:i/>
              </w:rPr>
              <w:t>7</w:t>
            </w:r>
            <w:r w:rsidRPr="00BC048A">
              <w:rPr>
                <w:b/>
                <w:i/>
              </w:rPr>
              <w:t xml:space="preserve"> – </w:t>
            </w:r>
            <w:r>
              <w:rPr>
                <w:b/>
                <w:i/>
              </w:rPr>
              <w:t>8</w:t>
            </w:r>
            <w:r w:rsidRPr="00BC048A">
              <w:rPr>
                <w:b/>
                <w:i/>
              </w:rPr>
              <w:t xml:space="preserve"> weeks)</w:t>
            </w:r>
          </w:p>
        </w:tc>
      </w:tr>
      <w:tr w:rsidR="00F45B44" w:rsidTr="0033528E">
        <w:tblPrEx>
          <w:shd w:val="clear" w:color="auto" w:fill="auto"/>
        </w:tblPrEx>
        <w:tc>
          <w:tcPr>
            <w:tcW w:w="2086" w:type="dxa"/>
          </w:tcPr>
          <w:p w:rsidR="004A140A" w:rsidRPr="00761630" w:rsidRDefault="00A524AA" w:rsidP="0033528E">
            <w:pPr>
              <w:jc w:val="center"/>
              <w:rPr>
                <w:b/>
                <w:sz w:val="22"/>
                <w:szCs w:val="22"/>
              </w:rPr>
            </w:pPr>
            <w:r w:rsidRPr="00761630">
              <w:rPr>
                <w:b/>
                <w:sz w:val="22"/>
                <w:szCs w:val="22"/>
              </w:rPr>
              <w:t>Inferences and Conclusions from Data</w:t>
            </w:r>
            <w:r w:rsidR="006F47D1">
              <w:rPr>
                <w:b/>
                <w:sz w:val="22"/>
                <w:szCs w:val="22"/>
              </w:rPr>
              <w:t xml:space="preserve"> Part B</w:t>
            </w:r>
          </w:p>
        </w:tc>
        <w:tc>
          <w:tcPr>
            <w:tcW w:w="1978" w:type="dxa"/>
          </w:tcPr>
          <w:p w:rsidR="004A140A" w:rsidRPr="00761630" w:rsidRDefault="006F47D1" w:rsidP="006F47D1">
            <w:pPr>
              <w:jc w:val="center"/>
              <w:rPr>
                <w:b/>
                <w:sz w:val="22"/>
                <w:szCs w:val="22"/>
              </w:rPr>
            </w:pPr>
            <w:r>
              <w:rPr>
                <w:b/>
                <w:sz w:val="22"/>
                <w:szCs w:val="22"/>
              </w:rPr>
              <w:t>Exponential</w:t>
            </w:r>
            <w:r w:rsidR="0062606E">
              <w:rPr>
                <w:b/>
                <w:sz w:val="22"/>
                <w:szCs w:val="22"/>
              </w:rPr>
              <w:t xml:space="preserve"> Functions</w:t>
            </w:r>
          </w:p>
        </w:tc>
        <w:tc>
          <w:tcPr>
            <w:tcW w:w="2068" w:type="dxa"/>
          </w:tcPr>
          <w:p w:rsidR="004A140A" w:rsidRPr="00761630" w:rsidRDefault="006F47D1" w:rsidP="0033528E">
            <w:pPr>
              <w:jc w:val="center"/>
              <w:rPr>
                <w:b/>
                <w:sz w:val="22"/>
                <w:szCs w:val="22"/>
              </w:rPr>
            </w:pPr>
            <w:r>
              <w:rPr>
                <w:b/>
                <w:sz w:val="22"/>
                <w:szCs w:val="22"/>
              </w:rPr>
              <w:t>Logarithmic Functions</w:t>
            </w:r>
          </w:p>
        </w:tc>
        <w:tc>
          <w:tcPr>
            <w:tcW w:w="2070" w:type="dxa"/>
            <w:gridSpan w:val="2"/>
          </w:tcPr>
          <w:p w:rsidR="004A140A" w:rsidRPr="00761630" w:rsidRDefault="006F47D1" w:rsidP="0033528E">
            <w:pPr>
              <w:jc w:val="center"/>
              <w:rPr>
                <w:b/>
                <w:sz w:val="22"/>
                <w:szCs w:val="22"/>
              </w:rPr>
            </w:pPr>
            <w:r w:rsidRPr="00761630">
              <w:rPr>
                <w:b/>
                <w:sz w:val="22"/>
                <w:szCs w:val="22"/>
              </w:rPr>
              <w:t>Trigonometric Functions</w:t>
            </w:r>
            <w:r>
              <w:rPr>
                <w:b/>
                <w:sz w:val="22"/>
                <w:szCs w:val="22"/>
              </w:rPr>
              <w:t xml:space="preserve"> and the Unit Circle</w:t>
            </w:r>
          </w:p>
        </w:tc>
        <w:tc>
          <w:tcPr>
            <w:tcW w:w="2073" w:type="dxa"/>
            <w:shd w:val="clear" w:color="auto" w:fill="auto"/>
          </w:tcPr>
          <w:p w:rsidR="004A140A" w:rsidRPr="00761630" w:rsidRDefault="00B10AE2" w:rsidP="0033528E">
            <w:pPr>
              <w:jc w:val="center"/>
              <w:rPr>
                <w:b/>
                <w:sz w:val="22"/>
                <w:szCs w:val="22"/>
              </w:rPr>
            </w:pPr>
            <w:r w:rsidRPr="00761630">
              <w:rPr>
                <w:b/>
                <w:sz w:val="22"/>
                <w:szCs w:val="22"/>
              </w:rPr>
              <w:t>Trigonometric Functions</w:t>
            </w:r>
            <w:r w:rsidR="006F47D1">
              <w:rPr>
                <w:b/>
                <w:sz w:val="22"/>
                <w:szCs w:val="22"/>
              </w:rPr>
              <w:t xml:space="preserve"> and Their Graphs</w:t>
            </w:r>
          </w:p>
        </w:tc>
        <w:tc>
          <w:tcPr>
            <w:tcW w:w="4111" w:type="dxa"/>
            <w:gridSpan w:val="2"/>
            <w:shd w:val="clear" w:color="auto" w:fill="auto"/>
          </w:tcPr>
          <w:p w:rsidR="004A140A" w:rsidRPr="00761630" w:rsidRDefault="00F45B44" w:rsidP="0033528E">
            <w:pPr>
              <w:jc w:val="center"/>
              <w:rPr>
                <w:b/>
                <w:sz w:val="22"/>
                <w:szCs w:val="22"/>
              </w:rPr>
            </w:pPr>
            <w:r w:rsidRPr="00761630">
              <w:rPr>
                <w:b/>
                <w:sz w:val="22"/>
                <w:szCs w:val="22"/>
              </w:rPr>
              <w:t>Mathematical Modeling</w:t>
            </w:r>
            <w:r w:rsidR="006F47D1">
              <w:rPr>
                <w:b/>
                <w:sz w:val="22"/>
                <w:szCs w:val="22"/>
              </w:rPr>
              <w:t xml:space="preserve"> Part B</w:t>
            </w:r>
          </w:p>
        </w:tc>
      </w:tr>
      <w:tr w:rsidR="00F45B44" w:rsidRPr="00DB1A2E" w:rsidTr="0033528E">
        <w:tblPrEx>
          <w:shd w:val="clear" w:color="auto" w:fill="auto"/>
        </w:tblPrEx>
        <w:tc>
          <w:tcPr>
            <w:tcW w:w="2086" w:type="dxa"/>
          </w:tcPr>
          <w:p w:rsidR="00B00035" w:rsidRPr="00DB1A2E" w:rsidRDefault="00B00035" w:rsidP="0033528E">
            <w:pPr>
              <w:jc w:val="center"/>
              <w:rPr>
                <w:b/>
                <w:sz w:val="18"/>
                <w:szCs w:val="18"/>
              </w:rPr>
            </w:pPr>
            <w:r w:rsidRPr="00DB1A2E">
              <w:rPr>
                <w:b/>
                <w:sz w:val="18"/>
                <w:szCs w:val="18"/>
              </w:rPr>
              <w:t>MCC9-12</w:t>
            </w:r>
            <w:r>
              <w:rPr>
                <w:b/>
                <w:sz w:val="18"/>
                <w:szCs w:val="18"/>
              </w:rPr>
              <w:t>.S</w:t>
            </w:r>
            <w:r w:rsidRPr="00DB1A2E">
              <w:rPr>
                <w:b/>
                <w:sz w:val="18"/>
                <w:szCs w:val="18"/>
              </w:rPr>
              <w:t>.ID.</w:t>
            </w:r>
            <w:r>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00035">
              <w:rPr>
                <w:b/>
                <w:sz w:val="18"/>
                <w:szCs w:val="18"/>
              </w:rPr>
              <w:t>.S</w:t>
            </w:r>
            <w:r w:rsidRPr="00DB1A2E">
              <w:rPr>
                <w:b/>
                <w:sz w:val="18"/>
                <w:szCs w:val="18"/>
              </w:rPr>
              <w:t>.I</w:t>
            </w:r>
            <w:r w:rsidR="00F45B44" w:rsidRPr="00DB1A2E">
              <w:rPr>
                <w:b/>
                <w:sz w:val="18"/>
                <w:szCs w:val="18"/>
              </w:rPr>
              <w:t>D.4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.S.I</w:t>
            </w:r>
            <w:r w:rsidR="00F45B44" w:rsidRPr="00DB1A2E">
              <w:rPr>
                <w:b/>
                <w:sz w:val="18"/>
                <w:szCs w:val="18"/>
              </w:rPr>
              <w:t>C.1</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.2</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.3</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.4</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.5</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Pr="00DB1A2E">
              <w:rPr>
                <w:b/>
                <w:sz w:val="18"/>
                <w:szCs w:val="18"/>
              </w:rPr>
              <w:t>.S</w:t>
            </w:r>
            <w:r w:rsidR="00F45B44" w:rsidRPr="00DB1A2E">
              <w:rPr>
                <w:b/>
                <w:sz w:val="18"/>
                <w:szCs w:val="18"/>
              </w:rPr>
              <w:t>.</w:t>
            </w:r>
            <w:r w:rsidRPr="00DB1A2E">
              <w:rPr>
                <w:b/>
                <w:sz w:val="18"/>
                <w:szCs w:val="18"/>
              </w:rPr>
              <w:t>IC</w:t>
            </w:r>
            <w:r w:rsidR="00F45B44" w:rsidRPr="00DB1A2E">
              <w:rPr>
                <w:b/>
                <w:sz w:val="18"/>
                <w:szCs w:val="18"/>
              </w:rPr>
              <w:t>.6</w:t>
            </w:r>
          </w:p>
          <w:p w:rsidR="00F45B44" w:rsidRPr="00DB1A2E" w:rsidRDefault="00F45B44" w:rsidP="0033528E">
            <w:pPr>
              <w:jc w:val="center"/>
              <w:rPr>
                <w:b/>
                <w:sz w:val="18"/>
                <w:szCs w:val="18"/>
              </w:rPr>
            </w:pPr>
          </w:p>
        </w:tc>
        <w:tc>
          <w:tcPr>
            <w:tcW w:w="1978" w:type="dxa"/>
          </w:tcPr>
          <w:p w:rsidR="006F47D1" w:rsidRDefault="006F47D1" w:rsidP="006F47D1">
            <w:pPr>
              <w:jc w:val="center"/>
              <w:rPr>
                <w:b/>
                <w:sz w:val="18"/>
                <w:szCs w:val="18"/>
              </w:rPr>
            </w:pPr>
            <w:r w:rsidRPr="00DB1A2E">
              <w:rPr>
                <w:b/>
                <w:sz w:val="18"/>
                <w:szCs w:val="18"/>
              </w:rPr>
              <w:t>MCC9-12.</w:t>
            </w:r>
            <w:r>
              <w:rPr>
                <w:b/>
                <w:sz w:val="18"/>
                <w:szCs w:val="18"/>
              </w:rPr>
              <w:t>A.SSE.3c</w:t>
            </w:r>
          </w:p>
          <w:p w:rsidR="006F47D1" w:rsidRDefault="006F47D1" w:rsidP="006F47D1">
            <w:pPr>
              <w:jc w:val="center"/>
              <w:rPr>
                <w:b/>
                <w:sz w:val="18"/>
                <w:szCs w:val="18"/>
              </w:rPr>
            </w:pPr>
            <w:r w:rsidRPr="00DB1A2E">
              <w:rPr>
                <w:b/>
                <w:sz w:val="18"/>
                <w:szCs w:val="18"/>
              </w:rPr>
              <w:t>MCC9-12.</w:t>
            </w:r>
            <w:r>
              <w:rPr>
                <w:b/>
                <w:sz w:val="18"/>
                <w:szCs w:val="18"/>
              </w:rPr>
              <w:t>F.IF.7e</w:t>
            </w:r>
          </w:p>
          <w:p w:rsidR="006F47D1" w:rsidRDefault="006F47D1" w:rsidP="006F47D1">
            <w:pPr>
              <w:jc w:val="center"/>
              <w:rPr>
                <w:b/>
                <w:sz w:val="18"/>
                <w:szCs w:val="18"/>
              </w:rPr>
            </w:pPr>
            <w:r w:rsidRPr="00DB1A2E">
              <w:rPr>
                <w:b/>
                <w:sz w:val="18"/>
                <w:szCs w:val="18"/>
              </w:rPr>
              <w:t>MCC9-12.</w:t>
            </w:r>
            <w:r>
              <w:rPr>
                <w:b/>
                <w:sz w:val="18"/>
                <w:szCs w:val="18"/>
              </w:rPr>
              <w:t>F.IF.8b</w:t>
            </w:r>
          </w:p>
          <w:p w:rsidR="00F45B44" w:rsidRPr="00DB1A2E" w:rsidRDefault="006F47D1" w:rsidP="006F47D1">
            <w:pPr>
              <w:jc w:val="center"/>
              <w:rPr>
                <w:b/>
                <w:sz w:val="18"/>
                <w:szCs w:val="18"/>
              </w:rPr>
            </w:pPr>
            <w:r w:rsidRPr="00DB1A2E">
              <w:rPr>
                <w:b/>
                <w:sz w:val="18"/>
                <w:szCs w:val="18"/>
              </w:rPr>
              <w:t>MCC9-12.</w:t>
            </w:r>
            <w:r>
              <w:rPr>
                <w:b/>
                <w:sz w:val="18"/>
                <w:szCs w:val="18"/>
              </w:rPr>
              <w:t>F.LE.4</w:t>
            </w:r>
          </w:p>
        </w:tc>
        <w:tc>
          <w:tcPr>
            <w:tcW w:w="2068" w:type="dxa"/>
          </w:tcPr>
          <w:p w:rsidR="006F47D1" w:rsidRDefault="006F47D1" w:rsidP="006F47D1">
            <w:pPr>
              <w:jc w:val="center"/>
              <w:rPr>
                <w:b/>
                <w:sz w:val="18"/>
                <w:szCs w:val="18"/>
              </w:rPr>
            </w:pPr>
            <w:r w:rsidRPr="00DB1A2E">
              <w:rPr>
                <w:b/>
                <w:sz w:val="18"/>
                <w:szCs w:val="18"/>
              </w:rPr>
              <w:t>MCC9-12.</w:t>
            </w:r>
            <w:r>
              <w:rPr>
                <w:b/>
                <w:sz w:val="18"/>
                <w:szCs w:val="18"/>
              </w:rPr>
              <w:t>A.SSE.3c</w:t>
            </w:r>
          </w:p>
          <w:p w:rsidR="006F47D1" w:rsidRDefault="006F47D1" w:rsidP="006F47D1">
            <w:pPr>
              <w:jc w:val="center"/>
              <w:rPr>
                <w:b/>
                <w:sz w:val="18"/>
                <w:szCs w:val="18"/>
              </w:rPr>
            </w:pPr>
            <w:r w:rsidRPr="00DB1A2E">
              <w:rPr>
                <w:b/>
                <w:sz w:val="18"/>
                <w:szCs w:val="18"/>
              </w:rPr>
              <w:t>MCC9-12.</w:t>
            </w:r>
            <w:r>
              <w:rPr>
                <w:b/>
                <w:sz w:val="18"/>
                <w:szCs w:val="18"/>
              </w:rPr>
              <w:t>F.IF.7e</w:t>
            </w:r>
          </w:p>
          <w:p w:rsidR="006F47D1" w:rsidRDefault="006F47D1" w:rsidP="006F47D1">
            <w:pPr>
              <w:jc w:val="center"/>
              <w:rPr>
                <w:b/>
                <w:sz w:val="18"/>
                <w:szCs w:val="18"/>
              </w:rPr>
            </w:pPr>
            <w:r w:rsidRPr="00DB1A2E">
              <w:rPr>
                <w:b/>
                <w:sz w:val="18"/>
                <w:szCs w:val="18"/>
              </w:rPr>
              <w:t>MCC9-12.</w:t>
            </w:r>
            <w:r>
              <w:rPr>
                <w:b/>
                <w:sz w:val="18"/>
                <w:szCs w:val="18"/>
              </w:rPr>
              <w:t>F.IF.8b</w:t>
            </w:r>
          </w:p>
          <w:p w:rsidR="006F47D1" w:rsidRDefault="006F47D1" w:rsidP="006F47D1">
            <w:pPr>
              <w:jc w:val="center"/>
              <w:rPr>
                <w:b/>
                <w:sz w:val="18"/>
                <w:szCs w:val="18"/>
              </w:rPr>
            </w:pPr>
            <w:r w:rsidRPr="00DB1A2E">
              <w:rPr>
                <w:b/>
                <w:sz w:val="18"/>
                <w:szCs w:val="18"/>
              </w:rPr>
              <w:t>MCC9-12.</w:t>
            </w:r>
            <w:r>
              <w:rPr>
                <w:b/>
                <w:sz w:val="18"/>
                <w:szCs w:val="18"/>
              </w:rPr>
              <w:t>F.BF.</w:t>
            </w:r>
            <w:r w:rsidRPr="00DB1A2E">
              <w:rPr>
                <w:b/>
                <w:sz w:val="18"/>
                <w:szCs w:val="18"/>
              </w:rPr>
              <w:t xml:space="preserve"> 4a</w:t>
            </w:r>
          </w:p>
          <w:p w:rsidR="00BD4516" w:rsidRPr="00DB1A2E" w:rsidRDefault="006F47D1" w:rsidP="006F47D1">
            <w:pPr>
              <w:jc w:val="center"/>
              <w:rPr>
                <w:b/>
                <w:sz w:val="18"/>
                <w:szCs w:val="18"/>
              </w:rPr>
            </w:pPr>
            <w:r w:rsidRPr="00DB1A2E">
              <w:rPr>
                <w:b/>
                <w:sz w:val="18"/>
                <w:szCs w:val="18"/>
              </w:rPr>
              <w:t>MCC9-12.</w:t>
            </w:r>
            <w:r>
              <w:rPr>
                <w:b/>
                <w:sz w:val="18"/>
                <w:szCs w:val="18"/>
              </w:rPr>
              <w:t>F.LE.4</w:t>
            </w:r>
          </w:p>
          <w:p w:rsidR="00F45B44" w:rsidRPr="00DB1A2E" w:rsidRDefault="00F45B44" w:rsidP="0033528E">
            <w:pPr>
              <w:jc w:val="center"/>
              <w:rPr>
                <w:b/>
                <w:sz w:val="18"/>
                <w:szCs w:val="18"/>
              </w:rPr>
            </w:pPr>
          </w:p>
        </w:tc>
        <w:tc>
          <w:tcPr>
            <w:tcW w:w="2070" w:type="dxa"/>
            <w:gridSpan w:val="2"/>
          </w:tcPr>
          <w:p w:rsidR="006F47D1" w:rsidRPr="00DB1A2E" w:rsidRDefault="006F47D1" w:rsidP="006F47D1">
            <w:pPr>
              <w:jc w:val="center"/>
              <w:rPr>
                <w:b/>
                <w:sz w:val="18"/>
                <w:szCs w:val="18"/>
              </w:rPr>
            </w:pPr>
            <w:r w:rsidRPr="00DB1A2E">
              <w:rPr>
                <w:b/>
                <w:sz w:val="18"/>
                <w:szCs w:val="18"/>
              </w:rPr>
              <w:t>MCC9-12.F.TF.1</w:t>
            </w:r>
          </w:p>
          <w:p w:rsidR="006F47D1" w:rsidRPr="00DB1A2E" w:rsidRDefault="006F47D1" w:rsidP="006F47D1">
            <w:pPr>
              <w:jc w:val="center"/>
              <w:rPr>
                <w:b/>
                <w:sz w:val="18"/>
                <w:szCs w:val="18"/>
              </w:rPr>
            </w:pPr>
            <w:r w:rsidRPr="00DB1A2E">
              <w:rPr>
                <w:b/>
                <w:sz w:val="18"/>
                <w:szCs w:val="18"/>
              </w:rPr>
              <w:t>MCC9-12.F.TF.2</w:t>
            </w:r>
          </w:p>
          <w:p w:rsidR="006F47D1" w:rsidRDefault="006F47D1" w:rsidP="006F47D1">
            <w:pPr>
              <w:jc w:val="center"/>
              <w:rPr>
                <w:b/>
                <w:sz w:val="18"/>
                <w:szCs w:val="18"/>
              </w:rPr>
            </w:pPr>
            <w:r w:rsidRPr="00DB1A2E">
              <w:rPr>
                <w:b/>
                <w:sz w:val="18"/>
                <w:szCs w:val="18"/>
              </w:rPr>
              <w:t>MCC9-12.F.TF.8</w:t>
            </w:r>
          </w:p>
          <w:p w:rsidR="00B10AE2" w:rsidRPr="00DB1A2E" w:rsidRDefault="00B10AE2" w:rsidP="0033528E">
            <w:pPr>
              <w:jc w:val="center"/>
              <w:rPr>
                <w:b/>
                <w:sz w:val="18"/>
                <w:szCs w:val="18"/>
              </w:rPr>
            </w:pPr>
          </w:p>
        </w:tc>
        <w:tc>
          <w:tcPr>
            <w:tcW w:w="2073" w:type="dxa"/>
            <w:shd w:val="clear" w:color="auto" w:fill="auto"/>
          </w:tcPr>
          <w:p w:rsidR="00B10AE2" w:rsidRDefault="00B10AE2" w:rsidP="0033528E">
            <w:pPr>
              <w:jc w:val="center"/>
              <w:rPr>
                <w:b/>
                <w:sz w:val="18"/>
                <w:szCs w:val="18"/>
              </w:rPr>
            </w:pPr>
            <w:r w:rsidRPr="00DB1A2E">
              <w:rPr>
                <w:b/>
                <w:sz w:val="18"/>
                <w:szCs w:val="18"/>
              </w:rPr>
              <w:t>MCC9-12.</w:t>
            </w:r>
            <w:r>
              <w:rPr>
                <w:b/>
                <w:sz w:val="18"/>
                <w:szCs w:val="18"/>
              </w:rPr>
              <w:t>F.IF.7e</w:t>
            </w:r>
          </w:p>
          <w:p w:rsidR="00B10AE2" w:rsidRPr="00DB1A2E" w:rsidRDefault="00B10AE2" w:rsidP="0033528E">
            <w:pPr>
              <w:jc w:val="center"/>
              <w:rPr>
                <w:b/>
                <w:sz w:val="18"/>
                <w:szCs w:val="18"/>
              </w:rPr>
            </w:pPr>
            <w:r w:rsidRPr="00DB1A2E">
              <w:rPr>
                <w:b/>
                <w:sz w:val="18"/>
                <w:szCs w:val="18"/>
              </w:rPr>
              <w:t>MCC9-12.F.TF.1</w:t>
            </w:r>
          </w:p>
          <w:p w:rsidR="00B10AE2" w:rsidRPr="00DB1A2E" w:rsidRDefault="00B10AE2" w:rsidP="0033528E">
            <w:pPr>
              <w:jc w:val="center"/>
              <w:rPr>
                <w:b/>
                <w:sz w:val="18"/>
                <w:szCs w:val="18"/>
              </w:rPr>
            </w:pPr>
            <w:r w:rsidRPr="00DB1A2E">
              <w:rPr>
                <w:b/>
                <w:sz w:val="18"/>
                <w:szCs w:val="18"/>
              </w:rPr>
              <w:t>MCC9-12.F.TF.2</w:t>
            </w:r>
          </w:p>
          <w:p w:rsidR="00B10AE2" w:rsidRPr="00DB1A2E" w:rsidRDefault="00B10AE2" w:rsidP="0033528E">
            <w:pPr>
              <w:jc w:val="center"/>
              <w:rPr>
                <w:b/>
                <w:sz w:val="18"/>
                <w:szCs w:val="18"/>
              </w:rPr>
            </w:pPr>
            <w:r w:rsidRPr="00DB1A2E">
              <w:rPr>
                <w:b/>
                <w:sz w:val="18"/>
                <w:szCs w:val="18"/>
              </w:rPr>
              <w:t>MCC9-12.F.TF.5</w:t>
            </w:r>
          </w:p>
          <w:p w:rsidR="00F45B44" w:rsidRDefault="00B10AE2" w:rsidP="0033528E">
            <w:pPr>
              <w:jc w:val="center"/>
              <w:rPr>
                <w:b/>
                <w:sz w:val="18"/>
                <w:szCs w:val="18"/>
              </w:rPr>
            </w:pPr>
            <w:r w:rsidRPr="00DB1A2E">
              <w:rPr>
                <w:b/>
                <w:sz w:val="18"/>
                <w:szCs w:val="18"/>
              </w:rPr>
              <w:t>MCC9-12.F.TF.8</w:t>
            </w:r>
          </w:p>
          <w:p w:rsidR="00B10AE2" w:rsidRPr="00DB1A2E" w:rsidRDefault="00B10AE2" w:rsidP="0033528E">
            <w:pPr>
              <w:jc w:val="center"/>
              <w:rPr>
                <w:b/>
                <w:sz w:val="18"/>
                <w:szCs w:val="18"/>
              </w:rPr>
            </w:pPr>
          </w:p>
        </w:tc>
        <w:tc>
          <w:tcPr>
            <w:tcW w:w="1713" w:type="dxa"/>
            <w:tcBorders>
              <w:right w:val="nil"/>
            </w:tcBorders>
            <w:shd w:val="clear" w:color="auto" w:fill="auto"/>
          </w:tcPr>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.F.IF.4</w:t>
            </w:r>
          </w:p>
          <w:p w:rsidR="00A77A6C" w:rsidRPr="00DB1A2E" w:rsidRDefault="00761630" w:rsidP="0033528E">
            <w:pP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.F.IF.5</w:t>
            </w:r>
          </w:p>
          <w:p w:rsidR="00F45B44" w:rsidRPr="00DB1A2E" w:rsidRDefault="00761630" w:rsidP="0033528E">
            <w:pPr>
              <w:jc w:val="center"/>
              <w:rPr>
                <w:b/>
                <w:sz w:val="18"/>
                <w:szCs w:val="18"/>
              </w:rPr>
            </w:pPr>
            <w:r w:rsidRPr="00DB1A2E">
              <w:rPr>
                <w:b/>
                <w:sz w:val="18"/>
                <w:szCs w:val="18"/>
              </w:rPr>
              <w:t>MCC9</w:t>
            </w:r>
            <w:r w:rsidR="007C7E58" w:rsidRPr="00DB1A2E">
              <w:rPr>
                <w:b/>
                <w:sz w:val="18"/>
                <w:szCs w:val="18"/>
              </w:rPr>
              <w:t>-12</w:t>
            </w:r>
            <w:r w:rsidR="00B10AE2">
              <w:rPr>
                <w:b/>
                <w:sz w:val="18"/>
                <w:szCs w:val="18"/>
              </w:rPr>
              <w:t>.F.IF.7</w:t>
            </w:r>
            <w:r w:rsidR="006F47D1">
              <w:rPr>
                <w:b/>
                <w:sz w:val="18"/>
                <w:szCs w:val="18"/>
              </w:rPr>
              <w:t>e</w:t>
            </w:r>
          </w:p>
          <w:p w:rsidR="00C424AB" w:rsidRPr="00DB1A2E" w:rsidRDefault="00C424AB" w:rsidP="0033528E">
            <w:pPr>
              <w:jc w:val="center"/>
              <w:rPr>
                <w:b/>
                <w:sz w:val="18"/>
                <w:szCs w:val="18"/>
              </w:rPr>
            </w:pPr>
          </w:p>
        </w:tc>
        <w:tc>
          <w:tcPr>
            <w:tcW w:w="2398" w:type="dxa"/>
            <w:tcBorders>
              <w:left w:val="nil"/>
            </w:tcBorders>
            <w:shd w:val="clear" w:color="auto" w:fill="auto"/>
          </w:tcPr>
          <w:p w:rsidR="00C424AB" w:rsidRPr="00DB1A2E" w:rsidRDefault="00C424AB" w:rsidP="0033528E">
            <w:pPr>
              <w:jc w:val="center"/>
              <w:rPr>
                <w:b/>
                <w:sz w:val="18"/>
                <w:szCs w:val="18"/>
              </w:rPr>
            </w:pPr>
            <w:r w:rsidRPr="00DB1A2E">
              <w:rPr>
                <w:b/>
                <w:sz w:val="18"/>
                <w:szCs w:val="18"/>
              </w:rPr>
              <w:t>MCC9-12.F.IF.8</w:t>
            </w:r>
            <w:r w:rsidR="006F47D1">
              <w:rPr>
                <w:b/>
                <w:sz w:val="18"/>
                <w:szCs w:val="18"/>
              </w:rPr>
              <w:t>b</w:t>
            </w:r>
          </w:p>
          <w:p w:rsidR="00C424AB" w:rsidRDefault="00C424AB" w:rsidP="0033528E">
            <w:pPr>
              <w:jc w:val="center"/>
              <w:rPr>
                <w:b/>
                <w:sz w:val="18"/>
                <w:szCs w:val="18"/>
              </w:rPr>
            </w:pPr>
            <w:r w:rsidRPr="00DB1A2E">
              <w:rPr>
                <w:b/>
                <w:sz w:val="18"/>
                <w:szCs w:val="18"/>
              </w:rPr>
              <w:t>MCC9-12.F.IF.9</w:t>
            </w:r>
          </w:p>
          <w:p w:rsidR="002909B3"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.F.BF.1</w:t>
            </w:r>
            <w:r w:rsidR="002909B3" w:rsidRPr="00DB1A2E">
              <w:rPr>
                <w:b/>
                <w:sz w:val="18"/>
                <w:szCs w:val="18"/>
              </w:rPr>
              <w:t>a</w:t>
            </w:r>
            <w:r w:rsidR="00C37397">
              <w:rPr>
                <w:b/>
                <w:sz w:val="18"/>
                <w:szCs w:val="18"/>
              </w:rPr>
              <w:t>,b,</w:t>
            </w:r>
          </w:p>
          <w:p w:rsidR="00A77A6C" w:rsidRPr="00DB1A2E"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A77A6C" w:rsidRPr="00DB1A2E">
              <w:rPr>
                <w:b/>
                <w:sz w:val="18"/>
                <w:szCs w:val="18"/>
              </w:rPr>
              <w:t>.F.BF.3</w:t>
            </w:r>
          </w:p>
          <w:p w:rsidR="006F47D1" w:rsidRDefault="00761630" w:rsidP="0033528E">
            <w:pPr>
              <w:pBdr>
                <w:right w:val="single" w:sz="4" w:space="4" w:color="auto"/>
              </w:pBdr>
              <w:jc w:val="center"/>
              <w:rPr>
                <w:b/>
                <w:sz w:val="18"/>
                <w:szCs w:val="18"/>
              </w:rPr>
            </w:pPr>
            <w:r w:rsidRPr="00DB1A2E">
              <w:rPr>
                <w:b/>
                <w:sz w:val="18"/>
                <w:szCs w:val="18"/>
              </w:rPr>
              <w:t>MCC9</w:t>
            </w:r>
            <w:r w:rsidR="007C7E58" w:rsidRPr="00DB1A2E">
              <w:rPr>
                <w:b/>
                <w:sz w:val="18"/>
                <w:szCs w:val="18"/>
              </w:rPr>
              <w:t>-12</w:t>
            </w:r>
            <w:r w:rsidR="00F45B44" w:rsidRPr="00DB1A2E">
              <w:rPr>
                <w:b/>
                <w:sz w:val="18"/>
                <w:szCs w:val="18"/>
              </w:rPr>
              <w:t>.F.BF.4a</w:t>
            </w:r>
          </w:p>
          <w:p w:rsidR="00F45B44" w:rsidRPr="00DB1A2E" w:rsidRDefault="00F45B44" w:rsidP="006F47D1">
            <w:pPr>
              <w:pBdr>
                <w:right w:val="single" w:sz="4" w:space="4" w:color="auto"/>
              </w:pBdr>
              <w:jc w:val="center"/>
              <w:rPr>
                <w:b/>
                <w:sz w:val="18"/>
                <w:szCs w:val="18"/>
              </w:rPr>
            </w:pPr>
          </w:p>
        </w:tc>
      </w:tr>
      <w:tr w:rsidR="00F45B44" w:rsidTr="0033528E">
        <w:tblPrEx>
          <w:shd w:val="clear" w:color="auto" w:fill="auto"/>
        </w:tblPrEx>
        <w:tc>
          <w:tcPr>
            <w:tcW w:w="2086" w:type="dxa"/>
            <w:shd w:val="clear" w:color="auto" w:fill="999999"/>
          </w:tcPr>
          <w:p w:rsidR="00F45B44" w:rsidRDefault="00F45B44" w:rsidP="0033528E">
            <w:pPr>
              <w:jc w:val="center"/>
            </w:pPr>
          </w:p>
        </w:tc>
        <w:tc>
          <w:tcPr>
            <w:tcW w:w="1978" w:type="dxa"/>
            <w:shd w:val="clear" w:color="auto" w:fill="999999"/>
          </w:tcPr>
          <w:p w:rsidR="00F45B44" w:rsidRDefault="00F45B44" w:rsidP="0033528E">
            <w:pPr>
              <w:jc w:val="center"/>
            </w:pPr>
          </w:p>
        </w:tc>
        <w:tc>
          <w:tcPr>
            <w:tcW w:w="2068" w:type="dxa"/>
            <w:shd w:val="clear" w:color="auto" w:fill="999999"/>
          </w:tcPr>
          <w:p w:rsidR="00F45B44" w:rsidRDefault="00F45B44" w:rsidP="0033528E">
            <w:pPr>
              <w:jc w:val="center"/>
            </w:pPr>
          </w:p>
        </w:tc>
        <w:tc>
          <w:tcPr>
            <w:tcW w:w="2070" w:type="dxa"/>
            <w:gridSpan w:val="2"/>
            <w:shd w:val="clear" w:color="auto" w:fill="999999"/>
          </w:tcPr>
          <w:p w:rsidR="00F45B44" w:rsidRDefault="00F45B44" w:rsidP="0033528E">
            <w:pPr>
              <w:jc w:val="center"/>
            </w:pPr>
          </w:p>
        </w:tc>
        <w:tc>
          <w:tcPr>
            <w:tcW w:w="2073" w:type="dxa"/>
            <w:shd w:val="clear" w:color="auto" w:fill="999999"/>
          </w:tcPr>
          <w:p w:rsidR="00F45B44" w:rsidRDefault="00F45B44" w:rsidP="0033528E">
            <w:pPr>
              <w:jc w:val="center"/>
            </w:pPr>
          </w:p>
        </w:tc>
        <w:tc>
          <w:tcPr>
            <w:tcW w:w="4111" w:type="dxa"/>
            <w:gridSpan w:val="2"/>
            <w:shd w:val="clear" w:color="auto" w:fill="999999"/>
          </w:tcPr>
          <w:p w:rsidR="00F45B44" w:rsidRDefault="00F45B44" w:rsidP="0033528E">
            <w:pPr>
              <w:jc w:val="center"/>
            </w:pPr>
          </w:p>
        </w:tc>
      </w:tr>
      <w:tr w:rsidR="00761630" w:rsidTr="0033528E">
        <w:tblPrEx>
          <w:shd w:val="clear" w:color="auto" w:fill="auto"/>
        </w:tblPrEx>
        <w:trPr>
          <w:trHeight w:val="557"/>
        </w:trPr>
        <w:tc>
          <w:tcPr>
            <w:tcW w:w="14386" w:type="dxa"/>
            <w:gridSpan w:val="8"/>
          </w:tcPr>
          <w:p w:rsidR="00761630" w:rsidRDefault="00761630" w:rsidP="0033528E">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761630" w:rsidRDefault="00761630" w:rsidP="0033528E">
            <w:pPr>
              <w:jc w:val="center"/>
              <w:rPr>
                <w:sz w:val="18"/>
                <w:szCs w:val="18"/>
              </w:rP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p>
          <w:p w:rsidR="00511222" w:rsidRPr="006348E7" w:rsidRDefault="00511222" w:rsidP="00511222">
            <w:pPr>
              <w:jc w:val="center"/>
              <w:rPr>
                <w:sz w:val="20"/>
              </w:rPr>
            </w:pPr>
            <w:r w:rsidRPr="006348E7">
              <w:rPr>
                <w:sz w:val="20"/>
              </w:rPr>
              <w:t>Plus standards (+) associated with Advanced Algebra are not reflected in this curriculum map, but could be taught to students as appropriate.</w:t>
            </w:r>
          </w:p>
          <w:p w:rsidR="00511222" w:rsidRDefault="00511222" w:rsidP="0033528E">
            <w:pPr>
              <w:jc w:val="center"/>
            </w:pPr>
          </w:p>
        </w:tc>
      </w:tr>
    </w:tbl>
    <w:p w:rsidR="00761630" w:rsidRPr="00555E5B" w:rsidRDefault="00761630" w:rsidP="00761630">
      <w:pPr>
        <w:pStyle w:val="Default"/>
        <w:jc w:val="both"/>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881FBF" w:rsidRPr="007B759F" w:rsidRDefault="00881FBF" w:rsidP="00487EB6">
      <w:pPr>
        <w:pStyle w:val="Default"/>
        <w:rPr>
          <w:sz w:val="16"/>
          <w:szCs w:val="16"/>
        </w:rPr>
      </w:pPr>
      <w:r w:rsidRPr="007B759F">
        <w:rPr>
          <w:b/>
          <w:sz w:val="16"/>
          <w:szCs w:val="16"/>
        </w:rPr>
        <w:t>Grade 9-12 Key:</w:t>
      </w:r>
      <w:r w:rsidRPr="007B759F">
        <w:rPr>
          <w:sz w:val="16"/>
          <w:szCs w:val="16"/>
        </w:rPr>
        <w:t xml:space="preserve">  </w:t>
      </w:r>
    </w:p>
    <w:p w:rsidR="00881FBF" w:rsidRPr="00976CB4" w:rsidRDefault="00881FBF" w:rsidP="00881FBF">
      <w:pPr>
        <w:pStyle w:val="Default"/>
        <w:ind w:left="2040" w:hanging="2040"/>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881FBF" w:rsidRPr="00976CB4" w:rsidRDefault="00881FBF" w:rsidP="00881FBF">
      <w:pPr>
        <w:pStyle w:val="Default"/>
        <w:rPr>
          <w:sz w:val="16"/>
          <w:szCs w:val="16"/>
        </w:rPr>
      </w:pPr>
      <w:r w:rsidRPr="00976CB4">
        <w:rPr>
          <w:b/>
          <w:sz w:val="16"/>
          <w:szCs w:val="16"/>
        </w:rPr>
        <w:t>Algebra Strand</w:t>
      </w:r>
      <w:r w:rsidRPr="00976CB4">
        <w:rPr>
          <w:sz w:val="16"/>
          <w:szCs w:val="16"/>
        </w:rPr>
        <w:t xml:space="preserve">: </w:t>
      </w:r>
      <w:r>
        <w:rPr>
          <w:sz w:val="16"/>
          <w:szCs w:val="16"/>
        </w:rPr>
        <w:tab/>
      </w:r>
      <w:r w:rsidRPr="00976CB4">
        <w:rPr>
          <w:sz w:val="16"/>
          <w:szCs w:val="16"/>
        </w:rPr>
        <w:t>SSE = Seeing Structure in Expressions, APR = Arithmetic with Polynomial and Rational Expressions, CE</w:t>
      </w:r>
      <w:r w:rsidR="006C3400">
        <w:rPr>
          <w:sz w:val="16"/>
          <w:szCs w:val="16"/>
        </w:rPr>
        <w:t>D</w:t>
      </w:r>
      <w:r w:rsidRPr="00976CB4">
        <w:rPr>
          <w:sz w:val="16"/>
          <w:szCs w:val="16"/>
        </w:rPr>
        <w:t xml:space="preserve"> = Creating Equations,   REI = Reasoning </w:t>
      </w:r>
      <w:r>
        <w:rPr>
          <w:sz w:val="16"/>
          <w:szCs w:val="16"/>
        </w:rPr>
        <w:t>with Equations and Inequalities</w:t>
      </w:r>
    </w:p>
    <w:p w:rsidR="00881FBF" w:rsidRPr="00976CB4" w:rsidRDefault="00881FBF" w:rsidP="00881FBF">
      <w:pPr>
        <w:pStyle w:val="Default"/>
        <w:rPr>
          <w:sz w:val="16"/>
          <w:szCs w:val="16"/>
        </w:rPr>
      </w:pPr>
      <w:r w:rsidRPr="00976CB4">
        <w:rPr>
          <w:b/>
          <w:sz w:val="16"/>
          <w:szCs w:val="16"/>
        </w:rPr>
        <w:t>Functions Strand</w:t>
      </w:r>
      <w:r w:rsidRPr="00976CB4">
        <w:rPr>
          <w:sz w:val="16"/>
          <w:szCs w:val="16"/>
        </w:rPr>
        <w:t xml:space="preserve">: </w:t>
      </w:r>
      <w:r>
        <w:rPr>
          <w:sz w:val="16"/>
          <w:szCs w:val="16"/>
        </w:rPr>
        <w:tab/>
      </w:r>
      <w:r w:rsidRPr="00976CB4">
        <w:rPr>
          <w:sz w:val="16"/>
          <w:szCs w:val="16"/>
        </w:rPr>
        <w:t>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881FBF" w:rsidRDefault="00881FBF" w:rsidP="0033528E">
      <w:pPr>
        <w:pStyle w:val="Default"/>
        <w:tabs>
          <w:tab w:val="left" w:pos="1440"/>
        </w:tabs>
        <w:rPr>
          <w:sz w:val="16"/>
          <w:szCs w:val="16"/>
        </w:rPr>
      </w:pPr>
      <w:r w:rsidRPr="007B759F">
        <w:rPr>
          <w:b/>
          <w:sz w:val="16"/>
          <w:szCs w:val="16"/>
        </w:rPr>
        <w:t>Geometry Strand:</w:t>
      </w:r>
      <w:r w:rsidRPr="00976CB4">
        <w:rPr>
          <w:sz w:val="16"/>
          <w:szCs w:val="16"/>
        </w:rPr>
        <w:t xml:space="preserve"> </w:t>
      </w:r>
      <w:r>
        <w:rPr>
          <w:sz w:val="16"/>
          <w:szCs w:val="16"/>
        </w:rPr>
        <w:tab/>
      </w:r>
      <w:r w:rsidRPr="00976CB4">
        <w:rPr>
          <w:sz w:val="16"/>
          <w:szCs w:val="16"/>
        </w:rPr>
        <w:t>CO = Congruence, SRT = Similarity, Right Triangles, and Trigonomet</w:t>
      </w:r>
      <w:r w:rsidR="006C3400">
        <w:rPr>
          <w:sz w:val="16"/>
          <w:szCs w:val="16"/>
        </w:rPr>
        <w: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881FBF" w:rsidRPr="00976CB4" w:rsidRDefault="00881FBF" w:rsidP="00881FBF">
      <w:pPr>
        <w:pStyle w:val="Default"/>
        <w:ind w:left="720" w:firstLine="720"/>
        <w:rPr>
          <w:sz w:val="16"/>
          <w:szCs w:val="16"/>
        </w:rPr>
      </w:pPr>
      <w:r w:rsidRPr="00976CB4">
        <w:rPr>
          <w:sz w:val="16"/>
          <w:szCs w:val="16"/>
        </w:rPr>
        <w:t>MG = Modeling with Geometry</w:t>
      </w:r>
    </w:p>
    <w:p w:rsidR="00881FBF" w:rsidRPr="007B759F" w:rsidRDefault="00881FBF" w:rsidP="00881FBF">
      <w:pPr>
        <w:pStyle w:val="Default"/>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MD = Using Probability to Make Decisions</w:t>
      </w:r>
    </w:p>
    <w:p w:rsidR="005B5D61" w:rsidRPr="00761E0E" w:rsidRDefault="005B5D61" w:rsidP="005B5D61">
      <w:pPr>
        <w:pStyle w:val="Default"/>
        <w:ind w:left="1440" w:hanging="1440"/>
        <w:rPr>
          <w:sz w:val="16"/>
          <w:szCs w:val="16"/>
        </w:rPr>
      </w:pPr>
      <w:r>
        <w:rPr>
          <w:rFonts w:eastAsia="Gotham-Book"/>
          <w:sz w:val="16"/>
          <w:szCs w:val="16"/>
        </w:rPr>
        <w:t>S</w:t>
      </w:r>
      <w:r w:rsidRPr="00761E0E">
        <w:rPr>
          <w:rFonts w:eastAsia="Gotham-Book"/>
          <w:sz w:val="16"/>
          <w:szCs w:val="16"/>
        </w:rPr>
        <w:t>pecific modeling standards appear throughout the high school standards indicated by a star symbol (</w:t>
      </w:r>
      <w:r w:rsidRPr="00761E0E">
        <w:rPr>
          <w:rFonts w:eastAsia="MS Mincho" w:hAnsi="MS Mincho"/>
          <w:sz w:val="16"/>
          <w:szCs w:val="16"/>
          <w:vertAlign w:val="superscript"/>
        </w:rPr>
        <w:t>★</w:t>
      </w:r>
      <w:r w:rsidRPr="00761E0E">
        <w:rPr>
          <w:rFonts w:eastAsia="Gotham-Book"/>
          <w:sz w:val="16"/>
          <w:szCs w:val="16"/>
        </w:rPr>
        <w:t>).</w:t>
      </w:r>
    </w:p>
    <w:p w:rsidR="006348E7" w:rsidRDefault="006348E7"/>
    <w:p w:rsidR="00E76926" w:rsidRDefault="00E76926">
      <w:pPr>
        <w:rPr>
          <w:color w:val="000000"/>
        </w:rPr>
      </w:pPr>
      <w:r>
        <w:br w:type="page"/>
      </w:r>
    </w:p>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Pr="003D69D0" w:rsidRDefault="00D17945" w:rsidP="00E76926">
      <w:pPr>
        <w:jc w:val="center"/>
        <w:rPr>
          <w:b/>
        </w:rPr>
      </w:pPr>
      <w:r>
        <w:rPr>
          <w:b/>
          <w:sz w:val="28"/>
          <w:szCs w:val="28"/>
        </w:rPr>
        <w:t xml:space="preserve">CCGPS </w:t>
      </w:r>
      <w:r w:rsidR="00E76926">
        <w:rPr>
          <w:b/>
          <w:sz w:val="28"/>
          <w:szCs w:val="28"/>
        </w:rPr>
        <w:t xml:space="preserve">Advanced Algebra </w:t>
      </w:r>
      <w:r w:rsidR="007278AE">
        <w:rPr>
          <w:b/>
          <w:sz w:val="28"/>
          <w:szCs w:val="28"/>
        </w:rPr>
        <w:t xml:space="preserve">Year 2 </w:t>
      </w:r>
      <w:r w:rsidR="00E76926">
        <w:rPr>
          <w:b/>
          <w:sz w:val="28"/>
          <w:szCs w:val="28"/>
        </w:rPr>
        <w:t>– 1</w:t>
      </w:r>
      <w:r w:rsidR="00E76926" w:rsidRPr="003717AE">
        <w:rPr>
          <w:b/>
          <w:sz w:val="28"/>
          <w:szCs w:val="28"/>
          <w:vertAlign w:val="superscript"/>
        </w:rPr>
        <w:t>st</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tcPr>
          <w:p w:rsidR="00E76926" w:rsidRPr="00356C5E" w:rsidRDefault="00E76926" w:rsidP="00D83CCA">
            <w:pPr>
              <w:jc w:val="center"/>
              <w:rPr>
                <w:sz w:val="20"/>
                <w:szCs w:val="20"/>
              </w:rPr>
            </w:pPr>
            <w:r w:rsidRPr="00356C5E">
              <w:rPr>
                <w:sz w:val="20"/>
                <w:szCs w:val="20"/>
              </w:rPr>
              <w:t>Unit 1</w:t>
            </w:r>
          </w:p>
        </w:tc>
        <w:tc>
          <w:tcPr>
            <w:tcW w:w="4800" w:type="dxa"/>
            <w:gridSpan w:val="2"/>
          </w:tcPr>
          <w:p w:rsidR="00E76926" w:rsidRPr="00356C5E" w:rsidRDefault="00E76926" w:rsidP="00D83CCA">
            <w:pPr>
              <w:jc w:val="center"/>
              <w:rPr>
                <w:sz w:val="20"/>
                <w:szCs w:val="20"/>
              </w:rPr>
            </w:pPr>
            <w:r w:rsidRPr="00356C5E">
              <w:rPr>
                <w:sz w:val="20"/>
                <w:szCs w:val="20"/>
              </w:rPr>
              <w:t>Unit 2</w:t>
            </w:r>
          </w:p>
        </w:tc>
        <w:tc>
          <w:tcPr>
            <w:tcW w:w="4800" w:type="dxa"/>
          </w:tcPr>
          <w:p w:rsidR="00E76926" w:rsidRPr="00356C5E" w:rsidRDefault="00E76926" w:rsidP="00D83CCA">
            <w:pPr>
              <w:jc w:val="center"/>
              <w:rPr>
                <w:sz w:val="20"/>
                <w:szCs w:val="20"/>
              </w:rPr>
            </w:pPr>
            <w:r w:rsidRPr="00356C5E">
              <w:rPr>
                <w:sz w:val="20"/>
                <w:szCs w:val="20"/>
              </w:rPr>
              <w:t>Unit 3</w:t>
            </w:r>
          </w:p>
        </w:tc>
      </w:tr>
      <w:tr w:rsidR="00E76926" w:rsidRPr="00334794" w:rsidTr="00D83CCA">
        <w:tblPrEx>
          <w:shd w:val="clear" w:color="auto" w:fill="auto"/>
        </w:tblPrEx>
        <w:tc>
          <w:tcPr>
            <w:tcW w:w="4800" w:type="dxa"/>
          </w:tcPr>
          <w:p w:rsidR="00E76926" w:rsidRPr="00356C5E" w:rsidRDefault="00F33DB3" w:rsidP="00D83CCA">
            <w:pPr>
              <w:jc w:val="center"/>
              <w:rPr>
                <w:b/>
                <w:sz w:val="20"/>
                <w:szCs w:val="20"/>
              </w:rPr>
            </w:pPr>
            <w:r w:rsidRPr="00761630">
              <w:rPr>
                <w:b/>
                <w:sz w:val="22"/>
                <w:szCs w:val="22"/>
              </w:rPr>
              <w:t>Inferences and Conclusions from Data</w:t>
            </w:r>
            <w:r w:rsidR="0036425A">
              <w:rPr>
                <w:b/>
                <w:sz w:val="22"/>
                <w:szCs w:val="22"/>
              </w:rPr>
              <w:t xml:space="preserve"> Part B</w:t>
            </w:r>
          </w:p>
        </w:tc>
        <w:tc>
          <w:tcPr>
            <w:tcW w:w="4800" w:type="dxa"/>
            <w:gridSpan w:val="2"/>
          </w:tcPr>
          <w:p w:rsidR="00E76926" w:rsidRPr="00356C5E" w:rsidRDefault="0036425A" w:rsidP="00F33DB3">
            <w:pPr>
              <w:jc w:val="center"/>
              <w:rPr>
                <w:b/>
                <w:sz w:val="20"/>
                <w:szCs w:val="20"/>
              </w:rPr>
            </w:pPr>
            <w:r>
              <w:rPr>
                <w:b/>
                <w:sz w:val="20"/>
                <w:szCs w:val="20"/>
              </w:rPr>
              <w:t>Exponential</w:t>
            </w:r>
            <w:r w:rsidR="0062606E">
              <w:rPr>
                <w:b/>
                <w:sz w:val="20"/>
                <w:szCs w:val="20"/>
              </w:rPr>
              <w:t xml:space="preserve"> Functions</w:t>
            </w:r>
            <w:bookmarkStart w:id="0" w:name="_GoBack"/>
            <w:bookmarkEnd w:id="0"/>
          </w:p>
        </w:tc>
        <w:tc>
          <w:tcPr>
            <w:tcW w:w="4800" w:type="dxa"/>
          </w:tcPr>
          <w:p w:rsidR="00E76926" w:rsidRPr="00356C5E" w:rsidRDefault="0036425A" w:rsidP="00D83CCA">
            <w:pPr>
              <w:jc w:val="center"/>
              <w:rPr>
                <w:b/>
                <w:sz w:val="20"/>
                <w:szCs w:val="20"/>
              </w:rPr>
            </w:pPr>
            <w:r>
              <w:rPr>
                <w:b/>
                <w:sz w:val="20"/>
                <w:szCs w:val="20"/>
              </w:rPr>
              <w:t>Logarithmic Functions</w:t>
            </w:r>
          </w:p>
        </w:tc>
      </w:tr>
      <w:tr w:rsidR="00E76926" w:rsidRPr="00334794" w:rsidTr="00D83CCA">
        <w:tblPrEx>
          <w:shd w:val="clear" w:color="auto" w:fill="auto"/>
        </w:tblPrEx>
        <w:tc>
          <w:tcPr>
            <w:tcW w:w="4800" w:type="dxa"/>
            <w:tcBorders>
              <w:bottom w:val="single" w:sz="4" w:space="0" w:color="auto"/>
            </w:tcBorders>
          </w:tcPr>
          <w:p w:rsidR="00B00035" w:rsidRPr="00AE29E9"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u w:val="single"/>
              </w:rPr>
              <w:t>Summarize, represent, and interpret data on a single count or measurement variable</w:t>
            </w:r>
          </w:p>
          <w:p w:rsidR="00235DB2" w:rsidRPr="002D7656" w:rsidRDefault="00B00035" w:rsidP="00B00035">
            <w:pPr>
              <w:autoSpaceDE w:val="0"/>
              <w:autoSpaceDN w:val="0"/>
              <w:adjustRightInd w:val="0"/>
              <w:rPr>
                <w:rFonts w:ascii="Perpetua" w:hAnsi="Perpetua"/>
                <w:b/>
                <w:bCs/>
                <w:sz w:val="18"/>
                <w:szCs w:val="18"/>
                <w:u w:val="single"/>
              </w:rPr>
            </w:pPr>
            <w:r w:rsidRPr="00AE29E9">
              <w:rPr>
                <w:rFonts w:ascii="Perpetua" w:hAnsi="Perpetua"/>
                <w:b/>
                <w:bCs/>
                <w:sz w:val="18"/>
                <w:szCs w:val="18"/>
              </w:rPr>
              <w:t>MCC9-12.S.ID.2</w:t>
            </w:r>
            <w:r w:rsidRPr="00AE29E9">
              <w:rPr>
                <w:rFonts w:ascii="Perpetua" w:hAnsi="Perpetua"/>
                <w:bCs/>
                <w:sz w:val="18"/>
                <w:szCs w:val="18"/>
              </w:rPr>
              <w:t xml:space="preserve"> Use statistics appropriate to the shape of the data distribution to compare center (median, mean) and spread (interquartile range</w:t>
            </w:r>
            <w:r w:rsidRPr="00EE3269">
              <w:rPr>
                <w:rFonts w:ascii="Perpetua" w:hAnsi="Perpetua"/>
                <w:bCs/>
                <w:sz w:val="18"/>
                <w:szCs w:val="18"/>
              </w:rPr>
              <w:t xml:space="preserve">, </w:t>
            </w:r>
            <w:r w:rsidRPr="00B00035">
              <w:rPr>
                <w:rFonts w:ascii="Perpetua" w:hAnsi="Perpetua"/>
                <w:bCs/>
                <w:sz w:val="18"/>
                <w:szCs w:val="18"/>
              </w:rPr>
              <w:t>standard deviation</w:t>
            </w:r>
            <w:r w:rsidRPr="00AE29E9">
              <w:rPr>
                <w:rFonts w:ascii="Perpetua" w:hAnsi="Perpetua"/>
                <w:bCs/>
                <w:sz w:val="18"/>
                <w:szCs w:val="18"/>
              </w:rPr>
              <w:t>) of two or more different data sets.</w:t>
            </w:r>
            <w:r w:rsidRPr="00AE29E9">
              <w:rPr>
                <w:rFonts w:ascii="Perpetua" w:eastAsia="MS Mincho" w:hAnsi="MS Mincho"/>
                <w:bCs/>
                <w:sz w:val="18"/>
                <w:szCs w:val="18"/>
                <w:vertAlign w:val="superscript"/>
              </w:rPr>
              <w:t>★</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MCC9-12.S.ID.4</w:t>
            </w:r>
            <w:r w:rsidRPr="002D7656">
              <w:rPr>
                <w:rFonts w:ascii="Perpetua" w:hAnsi="Perpetua"/>
                <w:bCs/>
                <w:sz w:val="18"/>
                <w:szCs w:val="18"/>
              </w:rPr>
              <w:t xml:space="preserve">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Understand and evaluate random processes underlying statistical experiments</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MCC9-12.S.IC.1</w:t>
            </w:r>
            <w:r w:rsidRPr="002D7656">
              <w:rPr>
                <w:rFonts w:ascii="Perpetua" w:hAnsi="Perpetua"/>
                <w:bCs/>
                <w:sz w:val="18"/>
                <w:szCs w:val="18"/>
              </w:rPr>
              <w:t xml:space="preserve"> Understand statistics as a process for making inferences about population parameters based on a random sample from that population.</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MCC9-12.S.IC.2</w:t>
            </w:r>
            <w:r w:rsidRPr="002D7656">
              <w:rPr>
                <w:rFonts w:ascii="Perpetua" w:hAnsi="Perpetua"/>
                <w:bCs/>
                <w:sz w:val="18"/>
                <w:szCs w:val="18"/>
              </w:rPr>
              <w:t xml:space="preserve"> Decide if a specified model is consistent with results from a given data-generating process, e.g., using simulation.</w:t>
            </w:r>
          </w:p>
          <w:p w:rsidR="00235DB2" w:rsidRPr="002D7656" w:rsidRDefault="00235DB2" w:rsidP="00235DB2">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Make inferences and justify conclusions from sample surveys, experiments, and observational studies</w:t>
            </w:r>
          </w:p>
          <w:p w:rsidR="00235DB2" w:rsidRPr="002D7656" w:rsidRDefault="00235DB2" w:rsidP="00235DB2">
            <w:pPr>
              <w:pStyle w:val="Default"/>
              <w:rPr>
                <w:rFonts w:ascii="Perpetua" w:hAnsi="Perpetua"/>
                <w:sz w:val="18"/>
                <w:szCs w:val="18"/>
              </w:rPr>
            </w:pPr>
            <w:r w:rsidRPr="002D7656">
              <w:rPr>
                <w:rFonts w:ascii="Perpetua" w:hAnsi="Perpetua"/>
                <w:b/>
                <w:sz w:val="18"/>
                <w:szCs w:val="18"/>
              </w:rPr>
              <w:t>MCC9-12.S.IC.3</w:t>
            </w:r>
            <w:r w:rsidRPr="002D7656">
              <w:rPr>
                <w:rFonts w:ascii="Perpetua" w:hAnsi="Perpetua"/>
                <w:sz w:val="18"/>
                <w:szCs w:val="18"/>
              </w:rPr>
              <w:t xml:space="preserve"> Recognize the purposes of and differences among sample surveys, experiments, and observational studies; explain how randomization relates to each.</w:t>
            </w:r>
            <w:r w:rsidRPr="002D7656">
              <w:rPr>
                <w:rFonts w:ascii="Perpetua" w:eastAsia="MS Mincho" w:hAnsi="MS Mincho"/>
                <w:sz w:val="18"/>
                <w:szCs w:val="18"/>
                <w:vertAlign w:val="superscript"/>
              </w:rPr>
              <w:t>★</w:t>
            </w:r>
            <w:r w:rsidRPr="002D7656">
              <w:rPr>
                <w:rFonts w:ascii="Perpetua" w:hAnsi="Perpetua"/>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MCC9-12.S.IC.4</w:t>
            </w:r>
            <w:r w:rsidRPr="002D7656">
              <w:rPr>
                <w:rFonts w:ascii="Perpetua" w:hAnsi="Perpetua"/>
                <w:bCs/>
                <w:sz w:val="18"/>
                <w:szCs w:val="18"/>
              </w:rPr>
              <w:t xml:space="preserve"> Use data from a sample survey to estimate a population mean or proportion; develop a margin of error through the use of simulation models for random sampling.</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MCC9-12.S.IC.5</w:t>
            </w:r>
            <w:r w:rsidRPr="002D7656">
              <w:rPr>
                <w:rFonts w:ascii="Perpetua" w:hAnsi="Perpetua"/>
                <w:bCs/>
                <w:sz w:val="18"/>
                <w:szCs w:val="18"/>
              </w:rPr>
              <w:t xml:space="preserve"> Use data from a randomized experiment to compare two treatments; use simulations to decide if differences between parameters are significant.</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235DB2" w:rsidRPr="002D7656" w:rsidRDefault="00235DB2" w:rsidP="00235DB2">
            <w:pPr>
              <w:pStyle w:val="Default"/>
              <w:rPr>
                <w:rFonts w:ascii="Perpetua" w:hAnsi="Perpetua"/>
                <w:sz w:val="18"/>
                <w:szCs w:val="18"/>
              </w:rPr>
            </w:pPr>
            <w:r w:rsidRPr="002D7656">
              <w:rPr>
                <w:rFonts w:ascii="Perpetua" w:hAnsi="Perpetua"/>
                <w:b/>
                <w:bCs/>
                <w:sz w:val="18"/>
                <w:szCs w:val="18"/>
              </w:rPr>
              <w:t>MCC9-12.S.IC.6</w:t>
            </w:r>
            <w:r w:rsidRPr="002D7656">
              <w:rPr>
                <w:rFonts w:ascii="Perpetua" w:hAnsi="Perpetua"/>
                <w:bCs/>
                <w:sz w:val="18"/>
                <w:szCs w:val="18"/>
              </w:rPr>
              <w:t xml:space="preserve"> Evaluate reports based on data.</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E76926" w:rsidRPr="002D7656" w:rsidRDefault="00E76926" w:rsidP="00D83CCA">
            <w:pPr>
              <w:rPr>
                <w:rFonts w:ascii="Perpetua" w:hAnsi="Perpetua"/>
                <w:sz w:val="18"/>
                <w:szCs w:val="18"/>
              </w:rPr>
            </w:pPr>
          </w:p>
        </w:tc>
        <w:tc>
          <w:tcPr>
            <w:tcW w:w="4800" w:type="dxa"/>
            <w:gridSpan w:val="2"/>
            <w:tcBorders>
              <w:bottom w:val="single" w:sz="4" w:space="0" w:color="auto"/>
            </w:tcBorders>
          </w:tcPr>
          <w:p w:rsidR="0036425A" w:rsidRPr="002D7656" w:rsidRDefault="00F05572" w:rsidP="0036425A">
            <w:pPr>
              <w:autoSpaceDE w:val="0"/>
              <w:autoSpaceDN w:val="0"/>
              <w:adjustRightInd w:val="0"/>
              <w:rPr>
                <w:rFonts w:ascii="Perpetua" w:hAnsi="Perpetua"/>
                <w:b/>
                <w:bCs/>
                <w:sz w:val="18"/>
                <w:szCs w:val="18"/>
                <w:u w:val="single"/>
              </w:rPr>
            </w:pPr>
            <w:r w:rsidRPr="002D7656">
              <w:rPr>
                <w:rFonts w:ascii="Perpetua" w:hAnsi="Perpetua"/>
                <w:bCs/>
                <w:sz w:val="18"/>
                <w:szCs w:val="18"/>
              </w:rPr>
              <w:t xml:space="preserve"> </w:t>
            </w:r>
            <w:r w:rsidR="0036425A" w:rsidRPr="002D7656">
              <w:rPr>
                <w:rFonts w:ascii="Perpetua" w:hAnsi="Perpetua"/>
                <w:b/>
                <w:bCs/>
                <w:sz w:val="18"/>
                <w:szCs w:val="18"/>
                <w:u w:val="single"/>
              </w:rPr>
              <w:t xml:space="preserve"> Write expressions in equivalent forms to solve problems</w:t>
            </w:r>
          </w:p>
          <w:p w:rsidR="0036425A" w:rsidRPr="00F91751" w:rsidRDefault="0036425A" w:rsidP="0036425A">
            <w:pPr>
              <w:pStyle w:val="Default"/>
              <w:rPr>
                <w:rFonts w:ascii="Perpetua" w:eastAsia="MS Mincho" w:hAnsi="Perpetua"/>
                <w:bCs/>
                <w:sz w:val="18"/>
                <w:szCs w:val="18"/>
              </w:rPr>
            </w:pPr>
            <w:r w:rsidRPr="002D7656">
              <w:rPr>
                <w:rFonts w:ascii="Perpetua" w:hAnsi="Perpetua"/>
                <w:b/>
                <w:bCs/>
                <w:sz w:val="18"/>
                <w:szCs w:val="18"/>
              </w:rPr>
              <w:t>MCC9-12.A.SSE.3</w:t>
            </w:r>
            <w:r w:rsidRPr="002D7656">
              <w:rPr>
                <w:rFonts w:ascii="Perpetua" w:hAnsi="Perpetua"/>
                <w:bCs/>
                <w:sz w:val="18"/>
                <w:szCs w:val="18"/>
              </w:rPr>
              <w:t xml:space="preserve"> Choose and produce an equivalent form of an expression to reveal and explain properties of the quantity represented by the expression.</w:t>
            </w:r>
            <w:r w:rsidRPr="002D7656">
              <w:rPr>
                <w:rFonts w:ascii="Perpetua" w:eastAsia="MS Mincho" w:hAnsi="MS Mincho"/>
                <w:bCs/>
                <w:sz w:val="18"/>
                <w:szCs w:val="18"/>
                <w:vertAlign w:val="superscript"/>
              </w:rPr>
              <w:t>★</w:t>
            </w:r>
            <w:r>
              <w:rPr>
                <w:rFonts w:ascii="Perpetua" w:eastAsia="MS Mincho" w:hAnsi="MS Mincho"/>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rPr>
                <w:rFonts w:ascii="Perpetua" w:hAnsi="Perpetua"/>
                <w:bCs/>
                <w:sz w:val="18"/>
                <w:szCs w:val="18"/>
              </w:rPr>
            </w:pPr>
            <w:r w:rsidRPr="002D7656">
              <w:rPr>
                <w:rFonts w:ascii="Perpetua" w:hAnsi="Perpetua"/>
                <w:b/>
                <w:bCs/>
                <w:sz w:val="18"/>
                <w:szCs w:val="18"/>
              </w:rPr>
              <w:t>MCC9-12.A.SSE.3c</w:t>
            </w:r>
            <w:r w:rsidRPr="002D7656">
              <w:rPr>
                <w:rFonts w:ascii="Perpetua" w:hAnsi="Perpetua"/>
                <w:bCs/>
                <w:sz w:val="18"/>
                <w:szCs w:val="18"/>
              </w:rPr>
              <w:t xml:space="preserve"> Use the properties of exponents to transform expressions for exponential functions.</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w:t>
            </w:r>
            <w:r w:rsidRPr="00F91751">
              <w:rPr>
                <w:rFonts w:ascii="Perpetua" w:hAnsi="Perpetua"/>
                <w:bCs/>
                <w:strike/>
                <w:sz w:val="18"/>
                <w:szCs w:val="18"/>
              </w:rPr>
              <w:t>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rPr>
                <w:rFonts w:ascii="Perpetua" w:hAnsi="Perpetua"/>
                <w:bCs/>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Construct and compare linear, quadratic, and exponential models and solve problems</w:t>
            </w:r>
          </w:p>
          <w:p w:rsidR="00F05572" w:rsidRPr="002D7656" w:rsidRDefault="0036425A" w:rsidP="0036425A">
            <w:pPr>
              <w:pStyle w:val="Default"/>
              <w:rPr>
                <w:rFonts w:ascii="Perpetua" w:hAnsi="Perpetua"/>
                <w:sz w:val="18"/>
                <w:szCs w:val="18"/>
              </w:rPr>
            </w:pPr>
            <w:r w:rsidRPr="002D7656">
              <w:rPr>
                <w:rFonts w:ascii="Perpetua" w:hAnsi="Perpetua"/>
                <w:b/>
                <w:bCs/>
                <w:sz w:val="18"/>
                <w:szCs w:val="18"/>
              </w:rPr>
              <w:t>MCC9-12.F.LE.4</w:t>
            </w:r>
            <w:r w:rsidRPr="002D7656">
              <w:rPr>
                <w:rFonts w:ascii="Perpetua" w:hAnsi="Perpetua"/>
                <w:bCs/>
                <w:sz w:val="18"/>
                <w:szCs w:val="18"/>
              </w:rPr>
              <w:t xml:space="preserve"> For exponential models, express as a logarithm the solution to </w:t>
            </w:r>
            <w:proofErr w:type="gramStart"/>
            <w:r w:rsidRPr="002D7656">
              <w:rPr>
                <w:rFonts w:ascii="Perpetua" w:hAnsi="Perpetua"/>
                <w:bCs/>
                <w:sz w:val="18"/>
                <w:szCs w:val="18"/>
              </w:rPr>
              <w:t>ab</w:t>
            </w:r>
            <w:r w:rsidRPr="002D7656">
              <w:rPr>
                <w:rFonts w:ascii="Perpetua" w:hAnsi="Perpetua"/>
                <w:bCs/>
                <w:sz w:val="18"/>
                <w:szCs w:val="18"/>
                <w:vertAlign w:val="superscript"/>
              </w:rPr>
              <w:t>(</w:t>
            </w:r>
            <w:proofErr w:type="spellStart"/>
            <w:proofErr w:type="gramEnd"/>
            <w:r w:rsidRPr="002D7656">
              <w:rPr>
                <w:rFonts w:ascii="Perpetua" w:hAnsi="Perpetua"/>
                <w:bCs/>
                <w:sz w:val="18"/>
                <w:szCs w:val="18"/>
                <w:vertAlign w:val="superscript"/>
              </w:rPr>
              <w:t>ct</w:t>
            </w:r>
            <w:proofErr w:type="spellEnd"/>
            <w:r w:rsidRPr="002D7656">
              <w:rPr>
                <w:rFonts w:ascii="Perpetua" w:hAnsi="Perpetua"/>
                <w:bCs/>
                <w:sz w:val="18"/>
                <w:szCs w:val="18"/>
                <w:vertAlign w:val="superscript"/>
              </w:rPr>
              <w:t>)</w:t>
            </w:r>
            <w:r w:rsidRPr="002D7656">
              <w:rPr>
                <w:rFonts w:ascii="Perpetua" w:hAnsi="Perpetua"/>
                <w:bCs/>
                <w:sz w:val="18"/>
                <w:szCs w:val="18"/>
              </w:rPr>
              <w:t xml:space="preserve"> = d where a, c, and </w:t>
            </w:r>
            <w:proofErr w:type="spellStart"/>
            <w:r w:rsidRPr="002D7656">
              <w:rPr>
                <w:rFonts w:ascii="Perpetua" w:hAnsi="Perpetua"/>
                <w:bCs/>
                <w:sz w:val="18"/>
                <w:szCs w:val="18"/>
              </w:rPr>
              <w:t>d are</w:t>
            </w:r>
            <w:proofErr w:type="spellEnd"/>
            <w:r w:rsidRPr="002D7656">
              <w:rPr>
                <w:rFonts w:ascii="Perpetua" w:hAnsi="Perpetua"/>
                <w:bCs/>
                <w:sz w:val="18"/>
                <w:szCs w:val="18"/>
              </w:rPr>
              <w:t xml:space="preserve"> numbers and the base b is 2, 10, or e; evaluate the logarithm using technology.</w:t>
            </w:r>
            <w:r w:rsidRPr="002D7656">
              <w:rPr>
                <w:rFonts w:ascii="Perpetua" w:eastAsia="MS Mincho" w:hAnsi="MS Mincho"/>
                <w:bCs/>
                <w:sz w:val="18"/>
                <w:szCs w:val="18"/>
                <w:vertAlign w:val="superscript"/>
              </w:rPr>
              <w:t>★</w:t>
            </w:r>
          </w:p>
          <w:p w:rsidR="00E76926" w:rsidRPr="002D7656" w:rsidRDefault="00E76926" w:rsidP="00F33DB3">
            <w:pPr>
              <w:pStyle w:val="Default"/>
              <w:rPr>
                <w:rFonts w:ascii="Perpetua" w:hAnsi="Perpetua"/>
                <w:sz w:val="18"/>
                <w:szCs w:val="18"/>
              </w:rPr>
            </w:pPr>
          </w:p>
        </w:tc>
        <w:tc>
          <w:tcPr>
            <w:tcW w:w="4800" w:type="dxa"/>
            <w:tcBorders>
              <w:bottom w:val="single" w:sz="4" w:space="0" w:color="auto"/>
            </w:tcBorders>
          </w:tcPr>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Write expressions in equivalent forms to solve problems</w:t>
            </w:r>
          </w:p>
          <w:p w:rsidR="0036425A" w:rsidRPr="00F91751" w:rsidRDefault="0036425A" w:rsidP="0036425A">
            <w:pPr>
              <w:pStyle w:val="Default"/>
              <w:rPr>
                <w:rFonts w:ascii="Perpetua" w:eastAsia="MS Mincho" w:hAnsi="Perpetua"/>
                <w:bCs/>
                <w:sz w:val="18"/>
                <w:szCs w:val="18"/>
              </w:rPr>
            </w:pPr>
            <w:r w:rsidRPr="002D7656">
              <w:rPr>
                <w:rFonts w:ascii="Perpetua" w:hAnsi="Perpetua"/>
                <w:b/>
                <w:bCs/>
                <w:sz w:val="18"/>
                <w:szCs w:val="18"/>
              </w:rPr>
              <w:t>MCC9-12.A.SSE.3</w:t>
            </w:r>
            <w:r w:rsidRPr="002D7656">
              <w:rPr>
                <w:rFonts w:ascii="Perpetua" w:hAnsi="Perpetua"/>
                <w:bCs/>
                <w:sz w:val="18"/>
                <w:szCs w:val="18"/>
              </w:rPr>
              <w:t xml:space="preserve"> Choose and produce an equivalent form of an expression to reveal and explain properties of the quantity represented by the expression.</w:t>
            </w:r>
            <w:r w:rsidRPr="002D7656">
              <w:rPr>
                <w:rFonts w:ascii="Perpetua" w:eastAsia="MS Mincho" w:hAnsi="MS Mincho"/>
                <w:bCs/>
                <w:sz w:val="18"/>
                <w:szCs w:val="18"/>
                <w:vertAlign w:val="superscript"/>
              </w:rPr>
              <w:t>★</w:t>
            </w:r>
            <w:r>
              <w:rPr>
                <w:rFonts w:ascii="Perpetua" w:eastAsia="MS Mincho" w:hAnsi="MS Mincho"/>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rPr>
                <w:rFonts w:ascii="Perpetua" w:hAnsi="Perpetua"/>
                <w:bCs/>
                <w:sz w:val="18"/>
                <w:szCs w:val="18"/>
              </w:rPr>
            </w:pPr>
            <w:r w:rsidRPr="002D7656">
              <w:rPr>
                <w:rFonts w:ascii="Perpetua" w:hAnsi="Perpetua"/>
                <w:b/>
                <w:bCs/>
                <w:sz w:val="18"/>
                <w:szCs w:val="18"/>
              </w:rPr>
              <w:t>MCC9-12.A.SSE.3c</w:t>
            </w:r>
            <w:r w:rsidRPr="002D7656">
              <w:rPr>
                <w:rFonts w:ascii="Perpetua" w:hAnsi="Perpetua"/>
                <w:bCs/>
                <w:sz w:val="18"/>
                <w:szCs w:val="18"/>
              </w:rPr>
              <w:t xml:space="preserve"> Use the properties of exponents to transform expressions for exponential functions.</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w:t>
            </w:r>
            <w:r w:rsidRPr="00F91751">
              <w:rPr>
                <w:rFonts w:ascii="Perpetua" w:hAnsi="Perpetua"/>
                <w:bCs/>
                <w:strike/>
                <w:sz w:val="18"/>
                <w:szCs w:val="18"/>
              </w:rPr>
              <w:t>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rPr>
                <w:rFonts w:ascii="Perpetua" w:hAnsi="Perpetua"/>
                <w:bCs/>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w:t>
            </w:r>
            <w:r>
              <w:rPr>
                <w:rFonts w:ascii="Perpetua" w:hAnsi="Perpetua"/>
                <w:bCs/>
                <w:sz w:val="18"/>
                <w:szCs w:val="18"/>
              </w:rPr>
              <w:t xml:space="preserve"> </w:t>
            </w:r>
            <w:r>
              <w:rPr>
                <w:rFonts w:ascii="Perpetua" w:hAnsi="Perpetua"/>
                <w:bCs/>
                <w:i/>
                <w:sz w:val="16"/>
                <w:szCs w:val="16"/>
              </w:rPr>
              <w:t>(</w:t>
            </w:r>
            <w:r w:rsidRPr="002D7656">
              <w:rPr>
                <w:rFonts w:ascii="Perpetua" w:hAnsi="Perpetua"/>
                <w:bCs/>
                <w:i/>
                <w:sz w:val="16"/>
                <w:szCs w:val="16"/>
              </w:rPr>
              <w:t xml:space="preserve">Limit to exponential </w:t>
            </w:r>
            <w:r w:rsidRPr="002D7656">
              <w:rPr>
                <w:rFonts w:ascii="Perpetua" w:hAnsi="Perpetua" w:cs="Gotham-BookItalic"/>
                <w:i/>
                <w:iCs/>
                <w:sz w:val="16"/>
                <w:szCs w:val="16"/>
              </w:rPr>
              <w:t>and</w:t>
            </w:r>
            <w:r w:rsidRPr="002D7656">
              <w:rPr>
                <w:rFonts w:ascii="Perpetua" w:hAnsi="Perpetua"/>
                <w:bCs/>
                <w:i/>
                <w:sz w:val="16"/>
                <w:szCs w:val="16"/>
              </w:rPr>
              <w:t xml:space="preserve"> logarithmic functions.</w:t>
            </w:r>
            <w:r>
              <w:rPr>
                <w:rFonts w:ascii="Perpetua" w:hAnsi="Perpetua"/>
                <w:bCs/>
                <w:i/>
                <w:sz w:val="16"/>
                <w:szCs w:val="16"/>
              </w:rPr>
              <w:t>)</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Construct and compare linear, quadratic, and exponential models and solve problems</w:t>
            </w:r>
          </w:p>
          <w:p w:rsidR="00E76926" w:rsidRPr="002D7656" w:rsidRDefault="0036425A" w:rsidP="0036425A">
            <w:pPr>
              <w:pStyle w:val="Default"/>
              <w:rPr>
                <w:rFonts w:ascii="Perpetua" w:hAnsi="Perpetua"/>
                <w:sz w:val="18"/>
                <w:szCs w:val="18"/>
              </w:rPr>
            </w:pPr>
            <w:r w:rsidRPr="002D7656">
              <w:rPr>
                <w:rFonts w:ascii="Perpetua" w:hAnsi="Perpetua"/>
                <w:b/>
                <w:bCs/>
                <w:sz w:val="18"/>
                <w:szCs w:val="18"/>
              </w:rPr>
              <w:t>MCC9-12.F.LE.4</w:t>
            </w:r>
            <w:r w:rsidRPr="002D7656">
              <w:rPr>
                <w:rFonts w:ascii="Perpetua" w:hAnsi="Perpetua"/>
                <w:bCs/>
                <w:sz w:val="18"/>
                <w:szCs w:val="18"/>
              </w:rPr>
              <w:t xml:space="preserve"> For exponential models, express as a logarithm the solution to </w:t>
            </w:r>
            <w:proofErr w:type="gramStart"/>
            <w:r w:rsidRPr="002D7656">
              <w:rPr>
                <w:rFonts w:ascii="Perpetua" w:hAnsi="Perpetua"/>
                <w:bCs/>
                <w:sz w:val="18"/>
                <w:szCs w:val="18"/>
              </w:rPr>
              <w:t>ab</w:t>
            </w:r>
            <w:r w:rsidRPr="002D7656">
              <w:rPr>
                <w:rFonts w:ascii="Perpetua" w:hAnsi="Perpetua"/>
                <w:bCs/>
                <w:sz w:val="18"/>
                <w:szCs w:val="18"/>
                <w:vertAlign w:val="superscript"/>
              </w:rPr>
              <w:t>(</w:t>
            </w:r>
            <w:proofErr w:type="spellStart"/>
            <w:proofErr w:type="gramEnd"/>
            <w:r w:rsidRPr="002D7656">
              <w:rPr>
                <w:rFonts w:ascii="Perpetua" w:hAnsi="Perpetua"/>
                <w:bCs/>
                <w:sz w:val="18"/>
                <w:szCs w:val="18"/>
                <w:vertAlign w:val="superscript"/>
              </w:rPr>
              <w:t>ct</w:t>
            </w:r>
            <w:proofErr w:type="spellEnd"/>
            <w:r w:rsidRPr="002D7656">
              <w:rPr>
                <w:rFonts w:ascii="Perpetua" w:hAnsi="Perpetua"/>
                <w:bCs/>
                <w:sz w:val="18"/>
                <w:szCs w:val="18"/>
                <w:vertAlign w:val="superscript"/>
              </w:rPr>
              <w:t>)</w:t>
            </w:r>
            <w:r w:rsidRPr="002D7656">
              <w:rPr>
                <w:rFonts w:ascii="Perpetua" w:hAnsi="Perpetua"/>
                <w:bCs/>
                <w:sz w:val="18"/>
                <w:szCs w:val="18"/>
              </w:rPr>
              <w:t xml:space="preserve"> = d where a, c, and </w:t>
            </w:r>
            <w:proofErr w:type="spellStart"/>
            <w:r w:rsidRPr="002D7656">
              <w:rPr>
                <w:rFonts w:ascii="Perpetua" w:hAnsi="Perpetua"/>
                <w:bCs/>
                <w:sz w:val="18"/>
                <w:szCs w:val="18"/>
              </w:rPr>
              <w:t>d are</w:t>
            </w:r>
            <w:proofErr w:type="spellEnd"/>
            <w:r w:rsidRPr="002D7656">
              <w:rPr>
                <w:rFonts w:ascii="Perpetua" w:hAnsi="Perpetua"/>
                <w:bCs/>
                <w:sz w:val="18"/>
                <w:szCs w:val="18"/>
              </w:rPr>
              <w:t xml:space="preserve"> numbers and the base b is 2, 10, or e; evaluate the logarithm using technology.</w:t>
            </w:r>
            <w:r w:rsidRPr="002D7656">
              <w:rPr>
                <w:rFonts w:ascii="Perpetua" w:eastAsia="MS Mincho" w:hAnsi="MS Mincho"/>
                <w:bCs/>
                <w:sz w:val="18"/>
                <w:szCs w:val="18"/>
                <w:vertAlign w:val="superscript"/>
              </w:rPr>
              <w:t>★</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r>
    </w:tbl>
    <w:p w:rsidR="00E76926" w:rsidRPr="007709DF" w:rsidRDefault="00E76926" w:rsidP="00E76926">
      <w:pPr>
        <w:jc w:val="center"/>
        <w:rPr>
          <w:b/>
          <w:sz w:val="28"/>
          <w:szCs w:val="28"/>
        </w:rPr>
      </w:pPr>
      <w:r w:rsidRPr="007709DF">
        <w:rPr>
          <w:b/>
          <w:sz w:val="28"/>
          <w:szCs w:val="28"/>
        </w:rPr>
        <w:lastRenderedPageBreak/>
        <w:t>Common Core Georgia Performance Standards</w:t>
      </w:r>
    </w:p>
    <w:p w:rsidR="00E76926" w:rsidRDefault="00D17945" w:rsidP="00E76926">
      <w:pPr>
        <w:pStyle w:val="Default"/>
        <w:jc w:val="center"/>
      </w:pPr>
      <w:r>
        <w:rPr>
          <w:b/>
          <w:sz w:val="28"/>
          <w:szCs w:val="28"/>
        </w:rPr>
        <w:t xml:space="preserve">CCGPS </w:t>
      </w:r>
      <w:r w:rsidR="00E76926">
        <w:rPr>
          <w:b/>
          <w:sz w:val="28"/>
          <w:szCs w:val="28"/>
        </w:rPr>
        <w:t xml:space="preserve">Advanced Algebra </w:t>
      </w:r>
      <w:r w:rsidR="007278AE">
        <w:rPr>
          <w:b/>
          <w:sz w:val="28"/>
          <w:szCs w:val="28"/>
        </w:rPr>
        <w:t xml:space="preserve">Year 2 </w:t>
      </w:r>
      <w:r w:rsidR="00E76926">
        <w:rPr>
          <w:b/>
          <w:sz w:val="28"/>
          <w:szCs w:val="28"/>
        </w:rPr>
        <w:t>– 2</w:t>
      </w:r>
      <w:r w:rsidR="00E76926" w:rsidRPr="003717AE">
        <w:rPr>
          <w:b/>
          <w:sz w:val="28"/>
          <w:szCs w:val="28"/>
          <w:vertAlign w:val="superscript"/>
        </w:rPr>
        <w:t>nd</w:t>
      </w:r>
      <w:r w:rsidR="00E76926">
        <w:rPr>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E76926" w:rsidRPr="00334794" w:rsidTr="00D83CCA">
        <w:tc>
          <w:tcPr>
            <w:tcW w:w="14400" w:type="dxa"/>
            <w:gridSpan w:val="4"/>
            <w:shd w:val="clear" w:color="auto" w:fill="A0A0A0"/>
          </w:tcPr>
          <w:p w:rsidR="00E76926" w:rsidRPr="002B62AC" w:rsidRDefault="00E76926" w:rsidP="00D83CCA">
            <w:pPr>
              <w:jc w:val="center"/>
              <w:rPr>
                <w:sz w:val="28"/>
                <w:szCs w:val="28"/>
              </w:rPr>
            </w:pPr>
            <w:r>
              <w:rPr>
                <w:sz w:val="28"/>
                <w:szCs w:val="28"/>
              </w:rPr>
              <w:t xml:space="preserve">Common Core </w:t>
            </w:r>
            <w:r w:rsidRPr="002B62AC">
              <w:rPr>
                <w:sz w:val="28"/>
                <w:szCs w:val="28"/>
              </w:rPr>
              <w:t>Georgia Performance Standards:  Curriculum Map</w:t>
            </w:r>
          </w:p>
        </w:tc>
      </w:tr>
      <w:tr w:rsidR="00E76926" w:rsidRPr="00334794" w:rsidTr="00D83CCA">
        <w:tblPrEx>
          <w:shd w:val="clear" w:color="auto" w:fill="auto"/>
        </w:tblPrEx>
        <w:tc>
          <w:tcPr>
            <w:tcW w:w="14400" w:type="dxa"/>
            <w:gridSpan w:val="4"/>
            <w:tcBorders>
              <w:bottom w:val="single" w:sz="4" w:space="0" w:color="auto"/>
            </w:tcBorders>
          </w:tcPr>
          <w:p w:rsidR="00E76926" w:rsidRPr="00FC7766" w:rsidRDefault="00E76926" w:rsidP="00D83CCA">
            <w:pPr>
              <w:jc w:val="center"/>
              <w:rPr>
                <w:sz w:val="16"/>
                <w:szCs w:val="16"/>
              </w:rPr>
            </w:pPr>
            <w:r w:rsidRPr="003D4DA0">
              <w:rPr>
                <w:b/>
                <w:sz w:val="18"/>
                <w:szCs w:val="18"/>
              </w:rPr>
              <w:t>Standards for Mathematical Practice</w:t>
            </w:r>
          </w:p>
        </w:tc>
      </w:tr>
      <w:tr w:rsidR="00E76926" w:rsidRPr="00334794" w:rsidTr="00D83CCA">
        <w:tblPrEx>
          <w:shd w:val="clear" w:color="auto" w:fill="auto"/>
        </w:tblPrEx>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E76926" w:rsidRPr="003D4DA0" w:rsidRDefault="00E76926"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E76926" w:rsidRPr="003D4DA0" w:rsidRDefault="00E76926"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E76926" w:rsidRPr="00FC7766" w:rsidRDefault="00E76926"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2"/>
            <w:tcBorders>
              <w:bottom w:val="single" w:sz="4" w:space="0" w:color="auto"/>
            </w:tcBorders>
          </w:tcPr>
          <w:p w:rsidR="00E76926" w:rsidRPr="003D4DA0" w:rsidRDefault="00E76926"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E76926" w:rsidRPr="003D4DA0" w:rsidRDefault="00E76926"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E76926" w:rsidRPr="003D4DA0" w:rsidRDefault="00E76926"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E76926" w:rsidRPr="00FC7766" w:rsidRDefault="00E76926"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E76926" w:rsidRPr="00334794" w:rsidTr="00D83CCA">
        <w:tblPrEx>
          <w:shd w:val="clear" w:color="auto" w:fill="auto"/>
        </w:tblPrEx>
        <w:tc>
          <w:tcPr>
            <w:tcW w:w="14400" w:type="dxa"/>
            <w:gridSpan w:val="4"/>
            <w:tcBorders>
              <w:bottom w:val="single" w:sz="4" w:space="0" w:color="auto"/>
            </w:tcBorders>
          </w:tcPr>
          <w:p w:rsidR="00E76926" w:rsidRPr="00356C5E" w:rsidRDefault="00E76926"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E76926" w:rsidRPr="00334794" w:rsidTr="00D83CCA">
        <w:tblPrEx>
          <w:shd w:val="clear" w:color="auto" w:fill="auto"/>
        </w:tblPrEx>
        <w:trPr>
          <w:trHeight w:val="257"/>
        </w:trPr>
        <w:tc>
          <w:tcPr>
            <w:tcW w:w="4800" w:type="dxa"/>
            <w:shd w:val="clear" w:color="auto" w:fill="8C8C8C"/>
          </w:tcPr>
          <w:p w:rsidR="00E76926" w:rsidRPr="00FC7766" w:rsidRDefault="00E76926" w:rsidP="00D83CCA">
            <w:pPr>
              <w:jc w:val="center"/>
              <w:rPr>
                <w:sz w:val="16"/>
                <w:szCs w:val="16"/>
              </w:rPr>
            </w:pPr>
          </w:p>
        </w:tc>
        <w:tc>
          <w:tcPr>
            <w:tcW w:w="4800" w:type="dxa"/>
            <w:gridSpan w:val="2"/>
            <w:shd w:val="clear" w:color="auto" w:fill="8C8C8C"/>
          </w:tcPr>
          <w:p w:rsidR="00E76926" w:rsidRPr="00FC7766" w:rsidRDefault="00E76926" w:rsidP="00D83CCA">
            <w:pPr>
              <w:jc w:val="center"/>
              <w:rPr>
                <w:sz w:val="16"/>
                <w:szCs w:val="16"/>
              </w:rPr>
            </w:pPr>
          </w:p>
        </w:tc>
        <w:tc>
          <w:tcPr>
            <w:tcW w:w="4800" w:type="dxa"/>
            <w:shd w:val="clear" w:color="auto" w:fill="8C8C8C"/>
          </w:tcPr>
          <w:p w:rsidR="00E76926" w:rsidRPr="00FC7766" w:rsidRDefault="00E76926" w:rsidP="00D83CCA">
            <w:pPr>
              <w:jc w:val="center"/>
              <w:rPr>
                <w:sz w:val="16"/>
                <w:szCs w:val="16"/>
              </w:rPr>
            </w:pPr>
          </w:p>
        </w:tc>
      </w:tr>
      <w:tr w:rsidR="00E76926" w:rsidRPr="00334794" w:rsidTr="00D83CCA">
        <w:tblPrEx>
          <w:shd w:val="clear" w:color="auto" w:fill="auto"/>
        </w:tblPrEx>
        <w:trPr>
          <w:trHeight w:val="209"/>
        </w:trPr>
        <w:tc>
          <w:tcPr>
            <w:tcW w:w="4800" w:type="dxa"/>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4</w:t>
            </w:r>
          </w:p>
        </w:tc>
        <w:tc>
          <w:tcPr>
            <w:tcW w:w="4800" w:type="dxa"/>
            <w:gridSpan w:val="2"/>
            <w:shd w:val="clear" w:color="auto" w:fill="auto"/>
          </w:tcPr>
          <w:p w:rsidR="00E76926" w:rsidRPr="00356C5E" w:rsidRDefault="00E76926" w:rsidP="00D83CCA">
            <w:pPr>
              <w:jc w:val="center"/>
              <w:rPr>
                <w:sz w:val="20"/>
                <w:szCs w:val="20"/>
              </w:rPr>
            </w:pPr>
            <w:r w:rsidRPr="00356C5E">
              <w:rPr>
                <w:sz w:val="20"/>
                <w:szCs w:val="20"/>
              </w:rPr>
              <w:t xml:space="preserve">Unit </w:t>
            </w:r>
            <w:r>
              <w:rPr>
                <w:sz w:val="20"/>
                <w:szCs w:val="20"/>
              </w:rPr>
              <w:t>5</w:t>
            </w:r>
          </w:p>
        </w:tc>
        <w:tc>
          <w:tcPr>
            <w:tcW w:w="4800" w:type="dxa"/>
          </w:tcPr>
          <w:p w:rsidR="00E76926" w:rsidRPr="00356C5E" w:rsidRDefault="00E76926" w:rsidP="00D83CCA">
            <w:pPr>
              <w:jc w:val="center"/>
              <w:rPr>
                <w:sz w:val="20"/>
                <w:szCs w:val="20"/>
              </w:rPr>
            </w:pPr>
            <w:r w:rsidRPr="00356C5E">
              <w:rPr>
                <w:sz w:val="20"/>
                <w:szCs w:val="20"/>
              </w:rPr>
              <w:t xml:space="preserve">Unit </w:t>
            </w:r>
            <w:r>
              <w:rPr>
                <w:sz w:val="20"/>
                <w:szCs w:val="20"/>
              </w:rPr>
              <w:t>6</w:t>
            </w:r>
          </w:p>
        </w:tc>
      </w:tr>
      <w:tr w:rsidR="00E76926" w:rsidRPr="00334794" w:rsidTr="00D83CCA">
        <w:tblPrEx>
          <w:shd w:val="clear" w:color="auto" w:fill="auto"/>
        </w:tblPrEx>
        <w:tc>
          <w:tcPr>
            <w:tcW w:w="4800" w:type="dxa"/>
            <w:shd w:val="clear" w:color="auto" w:fill="auto"/>
          </w:tcPr>
          <w:p w:rsidR="00E76926" w:rsidRPr="00356C5E" w:rsidRDefault="0036425A" w:rsidP="00D83CCA">
            <w:pPr>
              <w:jc w:val="center"/>
              <w:rPr>
                <w:b/>
                <w:sz w:val="20"/>
                <w:szCs w:val="20"/>
              </w:rPr>
            </w:pPr>
            <w:r w:rsidRPr="00761630">
              <w:rPr>
                <w:b/>
                <w:sz w:val="22"/>
                <w:szCs w:val="22"/>
              </w:rPr>
              <w:t>Trigonometric Functions</w:t>
            </w:r>
            <w:r>
              <w:rPr>
                <w:b/>
                <w:sz w:val="22"/>
                <w:szCs w:val="22"/>
              </w:rPr>
              <w:t xml:space="preserve"> and the Unit Circle</w:t>
            </w:r>
          </w:p>
        </w:tc>
        <w:tc>
          <w:tcPr>
            <w:tcW w:w="4800" w:type="dxa"/>
            <w:gridSpan w:val="2"/>
            <w:shd w:val="clear" w:color="auto" w:fill="auto"/>
          </w:tcPr>
          <w:p w:rsidR="00E76926" w:rsidRPr="00356C5E" w:rsidRDefault="00F33DB3" w:rsidP="00D83CCA">
            <w:pPr>
              <w:jc w:val="center"/>
              <w:rPr>
                <w:b/>
                <w:sz w:val="20"/>
                <w:szCs w:val="20"/>
              </w:rPr>
            </w:pPr>
            <w:r w:rsidRPr="00761630">
              <w:rPr>
                <w:b/>
                <w:sz w:val="22"/>
                <w:szCs w:val="22"/>
              </w:rPr>
              <w:t>Trigonometric Functions</w:t>
            </w:r>
            <w:r w:rsidR="0036425A">
              <w:rPr>
                <w:b/>
                <w:sz w:val="22"/>
                <w:szCs w:val="22"/>
              </w:rPr>
              <w:t xml:space="preserve"> and Their Graphs</w:t>
            </w:r>
          </w:p>
        </w:tc>
        <w:tc>
          <w:tcPr>
            <w:tcW w:w="4800" w:type="dxa"/>
          </w:tcPr>
          <w:p w:rsidR="00E76926" w:rsidRPr="00356C5E" w:rsidRDefault="00F33DB3" w:rsidP="00D83CCA">
            <w:pPr>
              <w:jc w:val="center"/>
              <w:rPr>
                <w:b/>
                <w:sz w:val="20"/>
                <w:szCs w:val="20"/>
              </w:rPr>
            </w:pPr>
            <w:r w:rsidRPr="00761630">
              <w:rPr>
                <w:b/>
                <w:sz w:val="22"/>
                <w:szCs w:val="22"/>
              </w:rPr>
              <w:t>Mathematical Modeling</w:t>
            </w:r>
            <w:r w:rsidR="0036425A">
              <w:rPr>
                <w:b/>
                <w:sz w:val="22"/>
                <w:szCs w:val="22"/>
              </w:rPr>
              <w:t xml:space="preserve"> Part B</w:t>
            </w:r>
          </w:p>
        </w:tc>
      </w:tr>
      <w:tr w:rsidR="00E76926" w:rsidRPr="00334794" w:rsidTr="00D83CCA">
        <w:tblPrEx>
          <w:shd w:val="clear" w:color="auto" w:fill="auto"/>
        </w:tblPrEx>
        <w:trPr>
          <w:trHeight w:val="2135"/>
        </w:trPr>
        <w:tc>
          <w:tcPr>
            <w:tcW w:w="4800" w:type="dxa"/>
            <w:tcBorders>
              <w:bottom w:val="single" w:sz="4" w:space="0" w:color="auto"/>
            </w:tcBorders>
            <w:shd w:val="clear" w:color="auto" w:fill="auto"/>
          </w:tcPr>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Extend the domain of trigonometric functions using the unit circle</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MCC9-12.F.TF.1</w:t>
            </w:r>
            <w:r w:rsidRPr="002D7656">
              <w:rPr>
                <w:rFonts w:ascii="Perpetua" w:hAnsi="Perpetua"/>
                <w:bCs/>
                <w:sz w:val="18"/>
                <w:szCs w:val="18"/>
              </w:rPr>
              <w:t xml:space="preserve"> Understand radian measure of an angle as the length of the arc on the unit circle subtended by the angle. </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MCC9-12.F.TF.2</w:t>
            </w:r>
            <w:r w:rsidRPr="002D7656">
              <w:rPr>
                <w:rFonts w:ascii="Perpetua" w:hAnsi="Perpetua"/>
                <w:bCs/>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36425A" w:rsidRPr="002D7656" w:rsidRDefault="0036425A" w:rsidP="0036425A">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Prove and apply trigonometric identities</w:t>
            </w:r>
          </w:p>
          <w:p w:rsidR="0036425A" w:rsidRPr="002D7656" w:rsidRDefault="0036425A" w:rsidP="0036425A">
            <w:pPr>
              <w:pStyle w:val="Default"/>
              <w:rPr>
                <w:rFonts w:ascii="Perpetua" w:hAnsi="Perpetua"/>
                <w:sz w:val="18"/>
                <w:szCs w:val="18"/>
              </w:rPr>
            </w:pPr>
            <w:r w:rsidRPr="002D7656">
              <w:rPr>
                <w:rFonts w:ascii="Perpetua" w:hAnsi="Perpetua"/>
                <w:b/>
                <w:bCs/>
                <w:sz w:val="18"/>
                <w:szCs w:val="18"/>
              </w:rPr>
              <w:t xml:space="preserve">MCC9-12.F.TF.8 </w:t>
            </w:r>
            <w:r w:rsidRPr="002D7656">
              <w:rPr>
                <w:rFonts w:ascii="Perpetua" w:hAnsi="Perpetua"/>
                <w:bCs/>
                <w:sz w:val="18"/>
                <w:szCs w:val="18"/>
              </w:rPr>
              <w:t>Prove the Pythagorean identity (sin A</w:t>
            </w:r>
            <w:proofErr w:type="gramStart"/>
            <w:r w:rsidRPr="002D7656">
              <w:rPr>
                <w:rFonts w:ascii="Perpetua" w:hAnsi="Perpetua"/>
                <w:bCs/>
                <w:sz w:val="18"/>
                <w:szCs w:val="18"/>
              </w:rPr>
              <w:t>)</w:t>
            </w:r>
            <w:r w:rsidRPr="002D7656">
              <w:rPr>
                <w:rFonts w:ascii="Perpetua" w:hAnsi="Perpetua"/>
                <w:bCs/>
                <w:sz w:val="18"/>
                <w:szCs w:val="18"/>
                <w:vertAlign w:val="superscript"/>
              </w:rPr>
              <w:t>2</w:t>
            </w:r>
            <w:proofErr w:type="gramEnd"/>
            <w:r w:rsidRPr="002D7656">
              <w:rPr>
                <w:rFonts w:ascii="Perpetua" w:hAnsi="Perpetua"/>
                <w:bCs/>
                <w:sz w:val="18"/>
                <w:szCs w:val="18"/>
              </w:rPr>
              <w:t xml:space="preserve"> + (cos A)</w:t>
            </w:r>
            <w:r w:rsidRPr="002D7656">
              <w:rPr>
                <w:rFonts w:ascii="Perpetua" w:hAnsi="Perpetua"/>
                <w:bCs/>
                <w:sz w:val="18"/>
                <w:szCs w:val="18"/>
                <w:vertAlign w:val="superscript"/>
              </w:rPr>
              <w:t>2</w:t>
            </w:r>
            <w:r w:rsidRPr="002D7656">
              <w:rPr>
                <w:rFonts w:ascii="Perpetua" w:hAnsi="Perpetua"/>
                <w:bCs/>
                <w:sz w:val="18"/>
                <w:szCs w:val="18"/>
              </w:rPr>
              <w:t xml:space="preserve"> = 1 and use it to find sin A, cos A, or tan A, given sin A, cos A, or tan A, and the quadrant of the angle. </w:t>
            </w:r>
          </w:p>
          <w:p w:rsidR="00E76926" w:rsidRPr="002D7656" w:rsidRDefault="00E76926" w:rsidP="0036425A">
            <w:pPr>
              <w:pStyle w:val="Default"/>
              <w:rPr>
                <w:rFonts w:ascii="Perpetua" w:hAnsi="Perpetua"/>
                <w:sz w:val="18"/>
                <w:szCs w:val="18"/>
              </w:rPr>
            </w:pPr>
          </w:p>
        </w:tc>
        <w:tc>
          <w:tcPr>
            <w:tcW w:w="4800" w:type="dxa"/>
            <w:gridSpan w:val="2"/>
            <w:tcBorders>
              <w:bottom w:val="single" w:sz="4" w:space="0" w:color="auto"/>
            </w:tcBorders>
            <w:shd w:val="clear" w:color="auto" w:fill="auto"/>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r w:rsidR="00F91751">
              <w:rPr>
                <w:rFonts w:ascii="Perpetua" w:hAnsi="Perpetua"/>
                <w:bCs/>
                <w:i/>
                <w:sz w:val="16"/>
                <w:szCs w:val="16"/>
              </w:rPr>
              <w:t>(</w:t>
            </w:r>
            <w:r w:rsidR="00F91751" w:rsidRPr="002D7656">
              <w:rPr>
                <w:rFonts w:ascii="Perpetua" w:hAnsi="Perpetua"/>
                <w:bCs/>
                <w:i/>
                <w:sz w:val="16"/>
                <w:szCs w:val="16"/>
              </w:rPr>
              <w:t xml:space="preserve">Limit to </w:t>
            </w:r>
            <w:r w:rsidR="00F91751" w:rsidRPr="002D7656">
              <w:rPr>
                <w:rFonts w:ascii="Perpetua" w:hAnsi="Perpetua" w:cs="Gotham-BookItalic"/>
                <w:i/>
                <w:iCs/>
                <w:sz w:val="16"/>
                <w:szCs w:val="16"/>
              </w:rPr>
              <w:t>trigonometric</w:t>
            </w:r>
            <w:r w:rsidR="00F91751" w:rsidRPr="002D7656">
              <w:rPr>
                <w:rFonts w:ascii="Perpetua" w:hAnsi="Perpetua"/>
                <w:bCs/>
                <w:i/>
                <w:sz w:val="16"/>
                <w:szCs w:val="16"/>
              </w:rPr>
              <w:t xml:space="preserve"> functions.</w:t>
            </w:r>
            <w:r w:rsidR="00F91751">
              <w:rPr>
                <w:rFonts w:ascii="Perpetua" w:hAnsi="Perpetua"/>
                <w:bCs/>
                <w:i/>
                <w:sz w:val="16"/>
                <w:szCs w:val="16"/>
              </w:rPr>
              <w:t>)</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w:t>
            </w:r>
            <w:r w:rsidRPr="00F91751">
              <w:rPr>
                <w:rFonts w:ascii="Perpetua" w:hAnsi="Perpetua"/>
                <w:bCs/>
                <w:strike/>
                <w:sz w:val="18"/>
                <w:szCs w:val="18"/>
              </w:rPr>
              <w:t>exponential and logarithmic functions, showing intercepts and end behavior</w:t>
            </w:r>
            <w:r w:rsidRPr="002D7656">
              <w:rPr>
                <w:rFonts w:ascii="Perpetua" w:hAnsi="Perpetua"/>
                <w:bCs/>
                <w:sz w:val="18"/>
                <w:szCs w:val="18"/>
              </w:rPr>
              <w:t>,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Extend the domain of trigonometric functions using the unit circle</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MCC9-12.F.TF.1</w:t>
            </w:r>
            <w:r w:rsidRPr="002D7656">
              <w:rPr>
                <w:rFonts w:ascii="Perpetua" w:hAnsi="Perpetua"/>
                <w:bCs/>
                <w:sz w:val="18"/>
                <w:szCs w:val="18"/>
              </w:rPr>
              <w:t xml:space="preserve"> Understand radian measure of an angle as the length of the arc on the unit circle subtended by the angle.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MCC9-12.F.TF.2</w:t>
            </w:r>
            <w:r w:rsidRPr="002D7656">
              <w:rPr>
                <w:rFonts w:ascii="Perpetua" w:hAnsi="Perpetua"/>
                <w:bCs/>
                <w:sz w:val="18"/>
                <w:szCs w:val="18"/>
              </w:rPr>
              <w:t xml:space="preserve"> Explain how the unit circle in the coordinate plane enables the extension of trigonometric functions to all real numbers, interpreted as radian measures of angles traversed counterclockwise around the unit circle.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Model periodic phenomena with trigonometric functions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 xml:space="preserve">MCC9-12.F.TF.5 </w:t>
            </w:r>
            <w:r w:rsidRPr="002D7656">
              <w:rPr>
                <w:rFonts w:ascii="Perpetua" w:hAnsi="Perpetua"/>
                <w:bCs/>
                <w:sz w:val="18"/>
                <w:szCs w:val="18"/>
              </w:rPr>
              <w:t>Choose trigonometric functions to model periodic phenomena with specified amplitude, frequency, and midline.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Prove and apply trigonometric identities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 xml:space="preserve">MCC9-12.F.TF.8 </w:t>
            </w:r>
            <w:r w:rsidRPr="002D7656">
              <w:rPr>
                <w:rFonts w:ascii="Perpetua" w:hAnsi="Perpetua"/>
                <w:bCs/>
                <w:sz w:val="18"/>
                <w:szCs w:val="18"/>
              </w:rPr>
              <w:t>Prove the Pythagorean identity (sin A</w:t>
            </w:r>
            <w:proofErr w:type="gramStart"/>
            <w:r w:rsidRPr="002D7656">
              <w:rPr>
                <w:rFonts w:ascii="Perpetua" w:hAnsi="Perpetua"/>
                <w:bCs/>
                <w:sz w:val="18"/>
                <w:szCs w:val="18"/>
              </w:rPr>
              <w:t>)</w:t>
            </w:r>
            <w:r w:rsidRPr="002D7656">
              <w:rPr>
                <w:rFonts w:ascii="Perpetua" w:hAnsi="Perpetua"/>
                <w:bCs/>
                <w:sz w:val="18"/>
                <w:szCs w:val="18"/>
                <w:vertAlign w:val="superscript"/>
              </w:rPr>
              <w:t>2</w:t>
            </w:r>
            <w:proofErr w:type="gramEnd"/>
            <w:r w:rsidRPr="002D7656">
              <w:rPr>
                <w:rFonts w:ascii="Perpetua" w:hAnsi="Perpetua"/>
                <w:bCs/>
                <w:sz w:val="18"/>
                <w:szCs w:val="18"/>
              </w:rPr>
              <w:t xml:space="preserve"> + (cos A)</w:t>
            </w:r>
            <w:r w:rsidRPr="002D7656">
              <w:rPr>
                <w:rFonts w:ascii="Perpetua" w:hAnsi="Perpetua"/>
                <w:bCs/>
                <w:sz w:val="18"/>
                <w:szCs w:val="18"/>
                <w:vertAlign w:val="superscript"/>
              </w:rPr>
              <w:t>2</w:t>
            </w:r>
            <w:r w:rsidRPr="002D7656">
              <w:rPr>
                <w:rFonts w:ascii="Perpetua" w:hAnsi="Perpetua"/>
                <w:bCs/>
                <w:sz w:val="18"/>
                <w:szCs w:val="18"/>
              </w:rPr>
              <w:t xml:space="preserve"> = 1 and use it to find sin A, cos A, or tan A, given sin A, cos A, or tan A, and the quadrant of the angle. </w:t>
            </w:r>
          </w:p>
          <w:p w:rsidR="00E76926" w:rsidRPr="002D7656" w:rsidRDefault="00E76926" w:rsidP="00D83CCA">
            <w:pPr>
              <w:rPr>
                <w:rFonts w:ascii="Perpetua" w:hAnsi="Perpetua"/>
                <w:sz w:val="18"/>
                <w:szCs w:val="18"/>
              </w:rPr>
            </w:pPr>
          </w:p>
        </w:tc>
        <w:tc>
          <w:tcPr>
            <w:tcW w:w="4800" w:type="dxa"/>
            <w:tcBorders>
              <w:bottom w:val="single" w:sz="4" w:space="0" w:color="auto"/>
            </w:tcBorders>
          </w:tcPr>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Interpret functions that arise in applications in terms of the context</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MCC9-12.F.IF.4</w:t>
            </w:r>
            <w:r w:rsidRPr="002D7656">
              <w:rPr>
                <w:rFonts w:ascii="Perpetua" w:hAnsi="Perpetua"/>
                <w:bCs/>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MCC9-12.F.IF.5</w:t>
            </w:r>
            <w:r w:rsidRPr="002D7656">
              <w:rPr>
                <w:rFonts w:ascii="Perpetua" w:hAnsi="Perpetua"/>
                <w:bCs/>
                <w:sz w:val="18"/>
                <w:szCs w:val="18"/>
              </w:rPr>
              <w:t xml:space="preserve"> Relate the domain of a function to its graph and, where applicable, to the quantitative relationship it describes.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rPr>
                <w:rFonts w:ascii="Perpetua" w:hAnsi="Perpetua"/>
                <w:b/>
                <w:bCs/>
                <w:sz w:val="18"/>
                <w:szCs w:val="18"/>
                <w:u w:val="single"/>
              </w:rPr>
            </w:pPr>
            <w:r w:rsidRPr="002D7656">
              <w:rPr>
                <w:rFonts w:ascii="Perpetua" w:hAnsi="Perpetua"/>
                <w:bCs/>
                <w:sz w:val="18"/>
                <w:szCs w:val="18"/>
                <w:u w:val="single"/>
              </w:rPr>
              <w:br w:type="page"/>
            </w:r>
            <w:r w:rsidRPr="002D7656">
              <w:rPr>
                <w:rFonts w:ascii="Perpetua" w:hAnsi="Perpetua"/>
                <w:b/>
                <w:bCs/>
                <w:sz w:val="18"/>
                <w:szCs w:val="18"/>
                <w:u w:val="single"/>
              </w:rPr>
              <w:t>Analyze functions using different representations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MCC9-12.F.IF.7</w:t>
            </w:r>
            <w:r w:rsidRPr="002D7656">
              <w:rPr>
                <w:rFonts w:ascii="Perpetua" w:hAnsi="Perpetua"/>
                <w:bCs/>
                <w:sz w:val="18"/>
                <w:szCs w:val="18"/>
              </w:rPr>
              <w:t xml:space="preserve"> Graph functions expressed symbolically and show key features of the graph, by hand in simple cases and using technology for more complicated cases.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MCC9-12.F.IF.7e</w:t>
            </w:r>
            <w:r w:rsidRPr="002D7656">
              <w:rPr>
                <w:rFonts w:ascii="Perpetua" w:hAnsi="Perpetua"/>
                <w:bCs/>
                <w:sz w:val="18"/>
                <w:szCs w:val="18"/>
              </w:rPr>
              <w:t xml:space="preserve"> Graph exponential and logarithmic functions, showing intercepts and end behavior, and trigonometric functions, showing period, midline, and amplitude.</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MCC9-12.F.IF.8</w:t>
            </w:r>
            <w:r w:rsidRPr="002D7656">
              <w:rPr>
                <w:rFonts w:ascii="Perpetua" w:hAnsi="Perpetua"/>
                <w:bCs/>
                <w:sz w:val="18"/>
                <w:szCs w:val="18"/>
              </w:rPr>
              <w:t xml:space="preserve"> Write a function defined by an expression in different but equivalent forms to reveal and explain different properties of the function.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t>MCC9-12.F.IF.8b</w:t>
            </w:r>
            <w:r w:rsidRPr="002D7656">
              <w:rPr>
                <w:rFonts w:ascii="Perpetua" w:hAnsi="Perpetua"/>
                <w:bCs/>
                <w:sz w:val="18"/>
                <w:szCs w:val="18"/>
              </w:rPr>
              <w:t xml:space="preserve"> Use the properties of exponents to interpret expressions for exponential functions. </w:t>
            </w:r>
          </w:p>
          <w:p w:rsidR="007B6CB8" w:rsidRPr="002D7656" w:rsidRDefault="007B6CB8" w:rsidP="007A4274">
            <w:pPr>
              <w:pBdr>
                <w:right w:val="single" w:sz="4" w:space="4" w:color="auto"/>
              </w:pBdr>
              <w:rPr>
                <w:rFonts w:ascii="Perpetua" w:hAnsi="Perpetua"/>
                <w:bCs/>
                <w:sz w:val="18"/>
                <w:szCs w:val="18"/>
              </w:rPr>
            </w:pPr>
            <w:r w:rsidRPr="002D7656">
              <w:rPr>
                <w:rFonts w:ascii="Perpetua" w:hAnsi="Perpetua"/>
                <w:b/>
                <w:bCs/>
                <w:sz w:val="18"/>
                <w:szCs w:val="18"/>
              </w:rPr>
              <w:t>MCC9-12.F.IF.9</w:t>
            </w:r>
            <w:r w:rsidRPr="002D7656">
              <w:rPr>
                <w:rFonts w:ascii="Perpetua" w:hAnsi="Perpetua"/>
                <w:bCs/>
                <w:sz w:val="18"/>
                <w:szCs w:val="18"/>
              </w:rPr>
              <w:t xml:space="preserve"> Compare properties of two functions each represented in a different way (algebraically, graphically, numerically in tables, or by verbal descriptions).</w:t>
            </w:r>
          </w:p>
          <w:p w:rsidR="007B6CB8" w:rsidRPr="002D7656" w:rsidRDefault="007B6CB8" w:rsidP="007B6CB8">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a function that models a relationship between two quantities</w:t>
            </w:r>
          </w:p>
          <w:p w:rsidR="007B6CB8" w:rsidRPr="002D7656" w:rsidRDefault="007B6CB8" w:rsidP="007B6CB8">
            <w:pPr>
              <w:pStyle w:val="Default"/>
              <w:rPr>
                <w:rFonts w:ascii="Perpetua" w:hAnsi="Perpetua"/>
                <w:sz w:val="18"/>
                <w:szCs w:val="18"/>
              </w:rPr>
            </w:pPr>
            <w:r w:rsidRPr="002D7656">
              <w:rPr>
                <w:rFonts w:ascii="Perpetua" w:hAnsi="Perpetua"/>
                <w:b/>
                <w:bCs/>
                <w:sz w:val="18"/>
                <w:szCs w:val="18"/>
              </w:rPr>
              <w:t>MCC9-12.F.BF.1</w:t>
            </w:r>
            <w:r w:rsidRPr="002D7656">
              <w:rPr>
                <w:rFonts w:ascii="Perpetua" w:hAnsi="Perpetua"/>
                <w:bCs/>
                <w:sz w:val="18"/>
                <w:szCs w:val="18"/>
              </w:rPr>
              <w:t xml:space="preserve"> Write a function that describes a relationship between two quantities.</w:t>
            </w:r>
            <w:r w:rsidRPr="002D7656">
              <w:rPr>
                <w:rFonts w:ascii="Perpetua" w:eastAsia="MS Mincho" w:hAnsi="MS Mincho"/>
                <w:bCs/>
                <w:sz w:val="18"/>
                <w:szCs w:val="18"/>
                <w:vertAlign w:val="superscript"/>
              </w:rPr>
              <w:t>★</w:t>
            </w:r>
            <w:r w:rsidRPr="002D7656">
              <w:rPr>
                <w:rFonts w:ascii="Perpetua" w:hAnsi="Perpetua"/>
                <w:bCs/>
                <w:sz w:val="18"/>
                <w:szCs w:val="18"/>
              </w:rPr>
              <w:t xml:space="preserve"> </w:t>
            </w:r>
          </w:p>
          <w:p w:rsidR="007B6CB8" w:rsidRPr="002D7656" w:rsidRDefault="007B6CB8" w:rsidP="007A4274">
            <w:pPr>
              <w:pStyle w:val="Default"/>
              <w:rPr>
                <w:rFonts w:ascii="Perpetua" w:hAnsi="Perpetua"/>
                <w:sz w:val="18"/>
                <w:szCs w:val="18"/>
              </w:rPr>
            </w:pPr>
            <w:r w:rsidRPr="002D7656">
              <w:rPr>
                <w:rFonts w:ascii="Perpetua" w:hAnsi="Perpetua"/>
                <w:b/>
                <w:bCs/>
                <w:sz w:val="18"/>
                <w:szCs w:val="18"/>
              </w:rPr>
              <w:t>MCC9-12.F.BF.1a</w:t>
            </w:r>
            <w:r w:rsidRPr="002D7656">
              <w:rPr>
                <w:rFonts w:ascii="Perpetua" w:hAnsi="Perpetua"/>
                <w:bCs/>
                <w:sz w:val="18"/>
                <w:szCs w:val="18"/>
              </w:rPr>
              <w:t xml:space="preserve"> Determine an explicit expression, a recursive process, or steps for calculation from a context. </w:t>
            </w:r>
          </w:p>
          <w:p w:rsidR="007B6CB8" w:rsidRPr="002D7656" w:rsidRDefault="007B6CB8" w:rsidP="007A4274">
            <w:pPr>
              <w:pStyle w:val="Default"/>
              <w:rPr>
                <w:rFonts w:ascii="Perpetua" w:hAnsi="Perpetua"/>
                <w:i/>
                <w:sz w:val="18"/>
                <w:szCs w:val="18"/>
              </w:rPr>
            </w:pPr>
            <w:r w:rsidRPr="002D7656">
              <w:rPr>
                <w:rFonts w:ascii="Perpetua" w:hAnsi="Perpetua"/>
                <w:b/>
                <w:bCs/>
                <w:sz w:val="18"/>
                <w:szCs w:val="18"/>
              </w:rPr>
              <w:lastRenderedPageBreak/>
              <w:t>MCC9-12.F.BF.1b</w:t>
            </w:r>
            <w:r w:rsidRPr="002D7656">
              <w:rPr>
                <w:rFonts w:ascii="Perpetua" w:hAnsi="Perpetua"/>
                <w:bCs/>
                <w:sz w:val="18"/>
                <w:szCs w:val="18"/>
              </w:rPr>
              <w:t xml:space="preserve"> Combine standard function types using arithmetic operations</w:t>
            </w:r>
            <w:r w:rsidR="00323A09" w:rsidRPr="002D7656">
              <w:rPr>
                <w:rFonts w:ascii="Perpetua" w:hAnsi="Perpetua"/>
                <w:bCs/>
                <w:sz w:val="18"/>
                <w:szCs w:val="18"/>
              </w:rPr>
              <w:t>.</w:t>
            </w:r>
          </w:p>
          <w:p w:rsidR="00323A09" w:rsidRPr="002D7656" w:rsidRDefault="00323A09" w:rsidP="00323A09">
            <w:pPr>
              <w:autoSpaceDE w:val="0"/>
              <w:autoSpaceDN w:val="0"/>
              <w:adjustRightInd w:val="0"/>
              <w:rPr>
                <w:rFonts w:ascii="Perpetua" w:hAnsi="Perpetua"/>
                <w:b/>
                <w:bCs/>
                <w:sz w:val="18"/>
                <w:szCs w:val="18"/>
                <w:u w:val="single"/>
              </w:rPr>
            </w:pPr>
            <w:r w:rsidRPr="002D7656">
              <w:rPr>
                <w:rFonts w:ascii="Perpetua" w:hAnsi="Perpetua"/>
                <w:b/>
                <w:bCs/>
                <w:sz w:val="18"/>
                <w:szCs w:val="18"/>
                <w:u w:val="single"/>
              </w:rPr>
              <w:t>Build new functions from existing functions</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MCC9-12.F.BF.3</w:t>
            </w:r>
            <w:r w:rsidRPr="002D7656">
              <w:rPr>
                <w:rFonts w:ascii="Perpetua" w:hAnsi="Perpetua"/>
                <w:bCs/>
                <w:sz w:val="18"/>
                <w:szCs w:val="18"/>
              </w:rPr>
              <w:t xml:space="preserve"> Identify the effect on the graph of replacing f(x) by f(x) + k, k f(x), f(</w:t>
            </w:r>
            <w:proofErr w:type="spellStart"/>
            <w:r w:rsidRPr="002D7656">
              <w:rPr>
                <w:rFonts w:ascii="Perpetua" w:hAnsi="Perpetua"/>
                <w:bCs/>
                <w:sz w:val="18"/>
                <w:szCs w:val="18"/>
              </w:rPr>
              <w:t>kx</w:t>
            </w:r>
            <w:proofErr w:type="spellEnd"/>
            <w:r w:rsidRPr="002D7656">
              <w:rPr>
                <w:rFonts w:ascii="Perpetua" w:hAnsi="Perpetua"/>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323A09" w:rsidRPr="002D7656" w:rsidRDefault="00323A09" w:rsidP="00323A09">
            <w:pPr>
              <w:pStyle w:val="Default"/>
              <w:rPr>
                <w:rFonts w:ascii="Perpetua" w:hAnsi="Perpetua"/>
                <w:sz w:val="18"/>
                <w:szCs w:val="18"/>
              </w:rPr>
            </w:pPr>
            <w:r w:rsidRPr="002D7656">
              <w:rPr>
                <w:rFonts w:ascii="Perpetua" w:hAnsi="Perpetua"/>
                <w:b/>
                <w:bCs/>
                <w:sz w:val="18"/>
                <w:szCs w:val="18"/>
              </w:rPr>
              <w:t>MCC9-12.F.BF.4</w:t>
            </w:r>
            <w:r w:rsidRPr="002D7656">
              <w:rPr>
                <w:rFonts w:ascii="Perpetua" w:hAnsi="Perpetua"/>
                <w:bCs/>
                <w:sz w:val="18"/>
                <w:szCs w:val="18"/>
              </w:rPr>
              <w:t xml:space="preserve"> Find inverse functions. </w:t>
            </w:r>
          </w:p>
          <w:p w:rsidR="00323A09" w:rsidRPr="002D7656" w:rsidRDefault="00323A09" w:rsidP="007A4274">
            <w:pPr>
              <w:pStyle w:val="Default"/>
              <w:rPr>
                <w:rFonts w:ascii="Perpetua" w:hAnsi="Perpetua"/>
                <w:sz w:val="18"/>
                <w:szCs w:val="18"/>
              </w:rPr>
            </w:pPr>
            <w:r w:rsidRPr="002D7656">
              <w:rPr>
                <w:rFonts w:ascii="Perpetua" w:hAnsi="Perpetua"/>
                <w:b/>
                <w:bCs/>
                <w:sz w:val="18"/>
                <w:szCs w:val="18"/>
              </w:rPr>
              <w:t>MCC9-12.F.BF.4a</w:t>
            </w:r>
            <w:r w:rsidRPr="002D7656">
              <w:rPr>
                <w:rFonts w:ascii="Perpetua" w:hAnsi="Perpetua"/>
                <w:bCs/>
                <w:sz w:val="18"/>
                <w:szCs w:val="18"/>
              </w:rPr>
              <w:t xml:space="preserve"> Solve an equation of the form f(x) = c for a simple function f that has an inverse and write an expression for the inverse.</w:t>
            </w:r>
          </w:p>
          <w:p w:rsidR="00E76926" w:rsidRPr="002D7656" w:rsidRDefault="00323A09" w:rsidP="00323A09">
            <w:pPr>
              <w:rPr>
                <w:rFonts w:ascii="Perpetua" w:hAnsi="Perpetua"/>
                <w:sz w:val="18"/>
                <w:szCs w:val="18"/>
              </w:rPr>
            </w:pPr>
            <w:r w:rsidRPr="002D7656">
              <w:rPr>
                <w:rFonts w:ascii="Perpetua" w:hAnsi="Perpetua"/>
                <w:bCs/>
                <w:sz w:val="18"/>
                <w:szCs w:val="18"/>
              </w:rPr>
              <w:t xml:space="preserve"> </w:t>
            </w:r>
          </w:p>
        </w:tc>
      </w:tr>
      <w:tr w:rsidR="00E76926" w:rsidRPr="00334794" w:rsidTr="00D83CCA">
        <w:tblPrEx>
          <w:shd w:val="clear" w:color="auto" w:fill="auto"/>
        </w:tblPrEx>
        <w:tc>
          <w:tcPr>
            <w:tcW w:w="4800" w:type="dxa"/>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gridSpan w:val="2"/>
            <w:tcBorders>
              <w:bottom w:val="single" w:sz="4" w:space="0" w:color="auto"/>
            </w:tcBorders>
            <w:shd w:val="clear" w:color="auto" w:fill="999999"/>
          </w:tcPr>
          <w:p w:rsidR="00E76926" w:rsidRPr="00FC7766" w:rsidRDefault="00E76926" w:rsidP="00D83CCA">
            <w:pPr>
              <w:jc w:val="center"/>
              <w:rPr>
                <w:sz w:val="16"/>
                <w:szCs w:val="16"/>
              </w:rPr>
            </w:pPr>
          </w:p>
        </w:tc>
        <w:tc>
          <w:tcPr>
            <w:tcW w:w="4800" w:type="dxa"/>
            <w:tcBorders>
              <w:bottom w:val="single" w:sz="4" w:space="0" w:color="auto"/>
            </w:tcBorders>
            <w:shd w:val="clear" w:color="auto" w:fill="999999"/>
          </w:tcPr>
          <w:p w:rsidR="00E76926" w:rsidRPr="00FC7766" w:rsidRDefault="00E76926" w:rsidP="00D83CCA">
            <w:pPr>
              <w:rPr>
                <w:sz w:val="16"/>
                <w:szCs w:val="16"/>
              </w:rPr>
            </w:pPr>
          </w:p>
        </w:tc>
      </w:tr>
    </w:tbl>
    <w:p w:rsidR="00E76926" w:rsidRDefault="00E76926" w:rsidP="00E76926">
      <w:pPr>
        <w:pStyle w:val="Default"/>
        <w:jc w:val="both"/>
      </w:pPr>
    </w:p>
    <w:p w:rsidR="003F3DC6" w:rsidRDefault="003F3DC6" w:rsidP="00D7239C">
      <w:pPr>
        <w:pStyle w:val="Default"/>
        <w:ind w:left="2400" w:hanging="2400"/>
        <w:jc w:val="both"/>
      </w:pPr>
    </w:p>
    <w:sectPr w:rsidR="003F3DC6" w:rsidSect="00D833CF">
      <w:headerReference w:type="default" r:id="rId10"/>
      <w:footerReference w:type="default" r:id="rId11"/>
      <w:pgSz w:w="15840" w:h="12240" w:orient="landscape" w:code="1"/>
      <w:pgMar w:top="1008" w:right="576" w:bottom="720" w:left="576" w:header="720" w:footer="42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AAE" w:rsidRDefault="00FF7AAE" w:rsidP="00732582">
      <w:r>
        <w:separator/>
      </w:r>
    </w:p>
  </w:endnote>
  <w:endnote w:type="continuationSeparator" w:id="0">
    <w:p w:rsidR="00FF7AAE" w:rsidRDefault="00FF7AAE"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68F" w:rsidRDefault="00A8568F" w:rsidP="00A8568F">
    <w:pPr>
      <w:pStyle w:val="Footer"/>
      <w:jc w:val="center"/>
      <w:rPr>
        <w:sz w:val="16"/>
        <w:szCs w:val="16"/>
      </w:rPr>
    </w:pPr>
    <w:r>
      <w:rPr>
        <w:sz w:val="16"/>
        <w:szCs w:val="16"/>
      </w:rPr>
      <w:t>Georgia Department of Education</w:t>
    </w:r>
  </w:p>
  <w:p w:rsidR="00A8568F" w:rsidRDefault="00A8568F" w:rsidP="00A8568F">
    <w:pPr>
      <w:pStyle w:val="Footer"/>
      <w:jc w:val="center"/>
      <w:rPr>
        <w:sz w:val="16"/>
        <w:szCs w:val="16"/>
      </w:rPr>
    </w:pPr>
    <w:r>
      <w:rPr>
        <w:sz w:val="16"/>
        <w:szCs w:val="16"/>
      </w:rPr>
      <w:t xml:space="preserve">Dr. John D. Barge, State School Superintendent  </w:t>
    </w:r>
  </w:p>
  <w:p w:rsidR="00A8568F" w:rsidRDefault="006F47D1" w:rsidP="00A8568F">
    <w:pPr>
      <w:pStyle w:val="Footer"/>
      <w:jc w:val="center"/>
      <w:rPr>
        <w:sz w:val="16"/>
        <w:szCs w:val="16"/>
      </w:rPr>
    </w:pPr>
    <w:r>
      <w:rPr>
        <w:sz w:val="16"/>
        <w:szCs w:val="16"/>
      </w:rPr>
      <w:t>March 2014</w:t>
    </w:r>
  </w:p>
  <w:p w:rsidR="00D7239C" w:rsidRPr="00A8568F" w:rsidRDefault="00A8568F" w:rsidP="00A8568F">
    <w:pPr>
      <w:pStyle w:val="Footer"/>
      <w:jc w:val="center"/>
      <w:rPr>
        <w:sz w:val="16"/>
        <w:szCs w:val="16"/>
      </w:rPr>
    </w:pPr>
    <w:r>
      <w:rPr>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AAE" w:rsidRDefault="00FF7AAE" w:rsidP="00732582">
      <w:r>
        <w:separator/>
      </w:r>
    </w:p>
  </w:footnote>
  <w:footnote w:type="continuationSeparator" w:id="0">
    <w:p w:rsidR="00FF7AAE" w:rsidRDefault="00FF7AAE"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2E" w:rsidRDefault="00F33DB3" w:rsidP="00F33DB3">
    <w:pPr>
      <w:pStyle w:val="Header"/>
      <w:jc w:val="cente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316A"/>
    <w:rsid w:val="00000F93"/>
    <w:rsid w:val="0003345D"/>
    <w:rsid w:val="00084BB8"/>
    <w:rsid w:val="000B4752"/>
    <w:rsid w:val="000B49CC"/>
    <w:rsid w:val="000E7820"/>
    <w:rsid w:val="00162752"/>
    <w:rsid w:val="001A049A"/>
    <w:rsid w:val="001B41E1"/>
    <w:rsid w:val="001D0BE4"/>
    <w:rsid w:val="001D2CB5"/>
    <w:rsid w:val="00220D07"/>
    <w:rsid w:val="00231FE2"/>
    <w:rsid w:val="00235DB2"/>
    <w:rsid w:val="00286DF3"/>
    <w:rsid w:val="002909B3"/>
    <w:rsid w:val="002D7656"/>
    <w:rsid w:val="002E5338"/>
    <w:rsid w:val="002E738D"/>
    <w:rsid w:val="00300E5E"/>
    <w:rsid w:val="00300FFB"/>
    <w:rsid w:val="00323A09"/>
    <w:rsid w:val="0033528E"/>
    <w:rsid w:val="00360AB6"/>
    <w:rsid w:val="00361A01"/>
    <w:rsid w:val="00362CA0"/>
    <w:rsid w:val="0036425A"/>
    <w:rsid w:val="003675F5"/>
    <w:rsid w:val="00376291"/>
    <w:rsid w:val="003814B4"/>
    <w:rsid w:val="003B16FB"/>
    <w:rsid w:val="003F3DC6"/>
    <w:rsid w:val="00414327"/>
    <w:rsid w:val="00416654"/>
    <w:rsid w:val="00434DE7"/>
    <w:rsid w:val="0043655D"/>
    <w:rsid w:val="004375D9"/>
    <w:rsid w:val="00464D32"/>
    <w:rsid w:val="00487EB6"/>
    <w:rsid w:val="004A140A"/>
    <w:rsid w:val="004A36B3"/>
    <w:rsid w:val="004B0365"/>
    <w:rsid w:val="004B5334"/>
    <w:rsid w:val="00511222"/>
    <w:rsid w:val="005212A4"/>
    <w:rsid w:val="005546A5"/>
    <w:rsid w:val="00557C85"/>
    <w:rsid w:val="00591A2A"/>
    <w:rsid w:val="005966DF"/>
    <w:rsid w:val="005B5D61"/>
    <w:rsid w:val="005C6E8D"/>
    <w:rsid w:val="005E26FD"/>
    <w:rsid w:val="0061752E"/>
    <w:rsid w:val="00625F91"/>
    <w:rsid w:val="0062606E"/>
    <w:rsid w:val="006348E7"/>
    <w:rsid w:val="0067121C"/>
    <w:rsid w:val="006C3400"/>
    <w:rsid w:val="006C7ADF"/>
    <w:rsid w:val="006D63A4"/>
    <w:rsid w:val="006E0F26"/>
    <w:rsid w:val="006F47D1"/>
    <w:rsid w:val="00706957"/>
    <w:rsid w:val="007278AE"/>
    <w:rsid w:val="00732582"/>
    <w:rsid w:val="0073614D"/>
    <w:rsid w:val="00750301"/>
    <w:rsid w:val="00751570"/>
    <w:rsid w:val="007546C2"/>
    <w:rsid w:val="00761630"/>
    <w:rsid w:val="00762AA0"/>
    <w:rsid w:val="00764354"/>
    <w:rsid w:val="00781210"/>
    <w:rsid w:val="007A2E03"/>
    <w:rsid w:val="007A4274"/>
    <w:rsid w:val="007B6CB8"/>
    <w:rsid w:val="007C7E58"/>
    <w:rsid w:val="007D49FB"/>
    <w:rsid w:val="007F688F"/>
    <w:rsid w:val="0083564A"/>
    <w:rsid w:val="00857E60"/>
    <w:rsid w:val="0086201F"/>
    <w:rsid w:val="0087316A"/>
    <w:rsid w:val="00880E06"/>
    <w:rsid w:val="00881FBF"/>
    <w:rsid w:val="008F0527"/>
    <w:rsid w:val="00925208"/>
    <w:rsid w:val="00945573"/>
    <w:rsid w:val="00965953"/>
    <w:rsid w:val="00966084"/>
    <w:rsid w:val="00974FAD"/>
    <w:rsid w:val="00987D16"/>
    <w:rsid w:val="009922A0"/>
    <w:rsid w:val="00993B91"/>
    <w:rsid w:val="009946D4"/>
    <w:rsid w:val="009A4C30"/>
    <w:rsid w:val="009D1C19"/>
    <w:rsid w:val="009F3B6F"/>
    <w:rsid w:val="00A43CD8"/>
    <w:rsid w:val="00A524AA"/>
    <w:rsid w:val="00A6258E"/>
    <w:rsid w:val="00A710C8"/>
    <w:rsid w:val="00A77A6C"/>
    <w:rsid w:val="00A8568F"/>
    <w:rsid w:val="00AD69A8"/>
    <w:rsid w:val="00B00035"/>
    <w:rsid w:val="00B10AE2"/>
    <w:rsid w:val="00B5625D"/>
    <w:rsid w:val="00B7559A"/>
    <w:rsid w:val="00B76348"/>
    <w:rsid w:val="00BA513D"/>
    <w:rsid w:val="00BD4516"/>
    <w:rsid w:val="00BD4B20"/>
    <w:rsid w:val="00BE6BC6"/>
    <w:rsid w:val="00C37397"/>
    <w:rsid w:val="00C424AB"/>
    <w:rsid w:val="00C62908"/>
    <w:rsid w:val="00C63904"/>
    <w:rsid w:val="00C90BF2"/>
    <w:rsid w:val="00C933F9"/>
    <w:rsid w:val="00C949FF"/>
    <w:rsid w:val="00CB42CE"/>
    <w:rsid w:val="00CC0419"/>
    <w:rsid w:val="00CD4123"/>
    <w:rsid w:val="00CE421E"/>
    <w:rsid w:val="00CF32F3"/>
    <w:rsid w:val="00D17945"/>
    <w:rsid w:val="00D26C72"/>
    <w:rsid w:val="00D7239C"/>
    <w:rsid w:val="00D74926"/>
    <w:rsid w:val="00D833CF"/>
    <w:rsid w:val="00D87785"/>
    <w:rsid w:val="00DA0D5C"/>
    <w:rsid w:val="00DA410A"/>
    <w:rsid w:val="00DB1A2E"/>
    <w:rsid w:val="00DB1DC3"/>
    <w:rsid w:val="00DB3C5C"/>
    <w:rsid w:val="00DE1C0C"/>
    <w:rsid w:val="00E35A6A"/>
    <w:rsid w:val="00E56C40"/>
    <w:rsid w:val="00E76441"/>
    <w:rsid w:val="00E76926"/>
    <w:rsid w:val="00E82B53"/>
    <w:rsid w:val="00ED0508"/>
    <w:rsid w:val="00F05572"/>
    <w:rsid w:val="00F066E9"/>
    <w:rsid w:val="00F259CE"/>
    <w:rsid w:val="00F33DB3"/>
    <w:rsid w:val="00F37F75"/>
    <w:rsid w:val="00F45B44"/>
    <w:rsid w:val="00F91751"/>
    <w:rsid w:val="00FA77D1"/>
    <w:rsid w:val="00FD6A16"/>
    <w:rsid w:val="00FE798B"/>
    <w:rsid w:val="00FF7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3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rsid w:val="001D7080"/>
    <w:pPr>
      <w:tabs>
        <w:tab w:val="center" w:pos="4680"/>
        <w:tab w:val="right" w:pos="9360"/>
      </w:tabs>
    </w:pPr>
  </w:style>
  <w:style w:type="character" w:customStyle="1" w:styleId="FooterChar">
    <w:name w:val="Footer Char"/>
    <w:basedOn w:val="DefaultParagraphFont"/>
    <w:link w:val="Footer"/>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179527">
      <w:bodyDiv w:val="1"/>
      <w:marLeft w:val="0"/>
      <w:marRight w:val="0"/>
      <w:marTop w:val="0"/>
      <w:marBottom w:val="0"/>
      <w:divBdr>
        <w:top w:val="none" w:sz="0" w:space="0" w:color="auto"/>
        <w:left w:val="none" w:sz="0" w:space="0" w:color="auto"/>
        <w:bottom w:val="none" w:sz="0" w:space="0" w:color="auto"/>
        <w:right w:val="none" w:sz="0" w:space="0" w:color="auto"/>
      </w:divBdr>
    </w:div>
    <w:div w:id="679426209">
      <w:bodyDiv w:val="1"/>
      <w:marLeft w:val="0"/>
      <w:marRight w:val="0"/>
      <w:marTop w:val="0"/>
      <w:marBottom w:val="0"/>
      <w:divBdr>
        <w:top w:val="none" w:sz="0" w:space="0" w:color="auto"/>
        <w:left w:val="none" w:sz="0" w:space="0" w:color="auto"/>
        <w:bottom w:val="none" w:sz="0" w:space="0" w:color="auto"/>
        <w:right w:val="none" w:sz="0" w:space="0" w:color="auto"/>
      </w:divBdr>
    </w:div>
    <w:div w:id="122376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1978</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Georgia Performance Standards</vt:lpstr>
    </vt:vector>
  </TitlesOfParts>
  <Company>Georgia Department of Education</Company>
  <LinksUpToDate>false</LinksUpToDate>
  <CharactersWithSpaces>13227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subject/>
  <dc:creator>Janet Davis</dc:creator>
  <cp:keywords/>
  <dc:description/>
  <cp:lastModifiedBy>GaDOE</cp:lastModifiedBy>
  <cp:revision>14</cp:revision>
  <cp:lastPrinted>2014-03-05T16:33:00Z</cp:lastPrinted>
  <dcterms:created xsi:type="dcterms:W3CDTF">2011-11-22T17:49:00Z</dcterms:created>
  <dcterms:modified xsi:type="dcterms:W3CDTF">2014-03-07T19:59:00Z</dcterms:modified>
</cp:coreProperties>
</file>